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7B81628" w14:textId="77777777" w:rsidR="002A3ACA" w:rsidRDefault="00471A97">
      <w:pPr>
        <w:pStyle w:val="Ttulo2"/>
        <w:jc w:val="center"/>
        <w:rPr>
          <w:rFonts w:ascii="Arial" w:eastAsia="Arial" w:hAnsi="Arial" w:cs="Arial"/>
          <w:b/>
          <w:bCs/>
          <w:color w:val="000000"/>
          <w:sz w:val="22"/>
          <w:szCs w:val="22"/>
          <w:highlight w:val="white"/>
        </w:rPr>
      </w:pPr>
      <w:bookmarkStart w:id="0" w:name="_heading=h.63u9xzmkqzvs" w:colFirst="0" w:colLast="0"/>
      <w:bookmarkEnd w:id="0"/>
      <w:r>
        <w:rPr>
          <w:rFonts w:ascii="Arial" w:eastAsia="Arial" w:hAnsi="Arial" w:cs="Arial"/>
          <w:b/>
          <w:bCs/>
          <w:color w:val="000000"/>
          <w:sz w:val="22"/>
          <w:szCs w:val="22"/>
          <w:highlight w:val="white"/>
        </w:rPr>
        <w:t>LA DIRECCIÓN DE INVESTIGACIONES Y CONTROL DE VIVIENDA DE LA SUBSECRETARÍA DE INSPECCIÓN, VIGILANCIA Y CONTROL DE VIVIENDA DE LA SECRETARÍA DISTRITAL DEL HÁBITAT</w:t>
      </w:r>
    </w:p>
    <w:p w14:paraId="7C36D34B" w14:textId="77777777" w:rsidR="002A3ACA" w:rsidRDefault="002A3ACA">
      <w:pPr>
        <w:jc w:val="center"/>
        <w:rPr>
          <w:rFonts w:ascii="Arial" w:eastAsia="Arial" w:hAnsi="Arial" w:cs="Arial"/>
          <w:sz w:val="22"/>
          <w:szCs w:val="22"/>
          <w:highlight w:val="white"/>
        </w:rPr>
      </w:pPr>
      <w:bookmarkStart w:id="1" w:name="_heading=h.tziib8mju948" w:colFirst="0" w:colLast="0"/>
      <w:bookmarkEnd w:id="1"/>
    </w:p>
    <w:p w14:paraId="5E54F17C" w14:textId="77777777" w:rsidR="002A3ACA" w:rsidRDefault="00471A97">
      <w:pPr>
        <w:jc w:val="center"/>
        <w:rPr>
          <w:rFonts w:ascii="Arial" w:eastAsia="Arial" w:hAnsi="Arial" w:cs="Arial"/>
          <w:sz w:val="22"/>
          <w:szCs w:val="22"/>
          <w:highlight w:val="white"/>
        </w:rPr>
      </w:pPr>
      <w:r>
        <w:rPr>
          <w:rFonts w:ascii="Arial" w:eastAsia="Arial" w:hAnsi="Arial" w:cs="Arial"/>
          <w:sz w:val="22"/>
          <w:szCs w:val="22"/>
          <w:highlight w:val="white"/>
        </w:rPr>
        <w:t>En ejercicio de las atribuciones conferidas por la Ley 66 de 1968, los Decretos Ley 2610 de 1979, 078 de 1987, el Decreto Distrital 653 de 2025, los Acuerdos Distritales 079 de 2003 y 735 de 2019 y demás normas concordantes, y,</w:t>
      </w:r>
    </w:p>
    <w:p w14:paraId="7BC10B05" w14:textId="77777777" w:rsidR="002A3ACA" w:rsidRDefault="002A3ACA">
      <w:pPr>
        <w:jc w:val="center"/>
        <w:rPr>
          <w:rFonts w:ascii="Arial" w:eastAsia="Arial" w:hAnsi="Arial" w:cs="Arial"/>
          <w:sz w:val="22"/>
          <w:szCs w:val="22"/>
          <w:highlight w:val="white"/>
        </w:rPr>
      </w:pPr>
    </w:p>
    <w:p w14:paraId="37D0AB04" w14:textId="77777777" w:rsidR="002A3ACA" w:rsidRDefault="00471A97">
      <w:pPr>
        <w:jc w:val="center"/>
        <w:rPr>
          <w:rFonts w:ascii="Arial" w:eastAsia="Arial" w:hAnsi="Arial" w:cs="Arial"/>
          <w:b/>
          <w:bCs/>
          <w:sz w:val="22"/>
          <w:szCs w:val="22"/>
          <w:highlight w:val="white"/>
        </w:rPr>
      </w:pPr>
      <w:r>
        <w:rPr>
          <w:rFonts w:ascii="Arial" w:eastAsia="Arial" w:hAnsi="Arial" w:cs="Arial"/>
          <w:b/>
          <w:bCs/>
          <w:sz w:val="22"/>
          <w:szCs w:val="22"/>
          <w:highlight w:val="white"/>
        </w:rPr>
        <w:t>CONSIDERANDO:</w:t>
      </w:r>
    </w:p>
    <w:p w14:paraId="5B3D7704" w14:textId="77777777" w:rsidR="002A3ACA" w:rsidRDefault="002A3ACA">
      <w:pPr>
        <w:jc w:val="both"/>
        <w:rPr>
          <w:rFonts w:ascii="Arial" w:eastAsia="Arial" w:hAnsi="Arial" w:cs="Arial"/>
          <w:sz w:val="22"/>
          <w:szCs w:val="22"/>
        </w:rPr>
      </w:pPr>
      <w:bookmarkStart w:id="2" w:name="_heading=h.vmq5jlsylcjh" w:colFirst="0" w:colLast="0"/>
      <w:bookmarkEnd w:id="2"/>
    </w:p>
    <w:p w14:paraId="600BC7FE" w14:textId="77777777" w:rsidR="002A3ACA" w:rsidRDefault="00471A97">
      <w:pPr>
        <w:widowControl w:val="0"/>
        <w:pBdr>
          <w:top w:val="nil"/>
          <w:left w:val="nil"/>
          <w:bottom w:val="nil"/>
          <w:right w:val="nil"/>
          <w:between w:val="nil"/>
        </w:pBdr>
        <w:jc w:val="both"/>
        <w:rPr>
          <w:rFonts w:ascii="Arial" w:eastAsia="Arial" w:hAnsi="Arial" w:cs="Arial"/>
          <w:sz w:val="22"/>
          <w:szCs w:val="22"/>
        </w:rPr>
      </w:pPr>
      <w:r>
        <w:rPr>
          <w:rFonts w:ascii="Arial" w:eastAsia="Arial" w:hAnsi="Arial" w:cs="Arial"/>
          <w:sz w:val="22"/>
          <w:szCs w:val="22"/>
        </w:rPr>
        <w:t>Que la Dirección de Investigaciones y Control de Vivienda de la Subsecretaría de Inspección, Vigilancia y Control de Vivienda de la Secretaría Distrital del Hábitat, en virtud de su competencia y de conformidad con lo dispuesto en el parágrafo del artículo 1 del Decreto 572 de 2015 hoy artículo 111 del Decreto 653 de 2025, conoció de la queja presentada por el señor JUAN FRANCISCO GARAVITO SUARÉZ, en calidad de propietario del apartamento 303, por las presuntas irregularidades presentes en las áreas privada</w:t>
      </w:r>
      <w:r>
        <w:rPr>
          <w:rFonts w:ascii="Arial" w:eastAsia="Arial" w:hAnsi="Arial" w:cs="Arial"/>
          <w:sz w:val="22"/>
          <w:szCs w:val="22"/>
        </w:rPr>
        <w:t>s del proyecto vivienda EDIFICIO GHARA, ubicado en la Calle 124 No. 47 - 06 de esta ciudad, en contra de la sociedad enajenadora INVERSIONES INMOBILIARIAS ZENIT S.A.S. EN LIQUIDACIÓN, identificada con NIT. 900.410.744-5, representada legalmente (o quien haga sus veces) por el señor FERNANDO ALBERTO BARROS SÁNCHEZ actuación a la que le correspondió el radicado No.1-2016-33722.</w:t>
      </w:r>
    </w:p>
    <w:p w14:paraId="3F04388F" w14:textId="77777777" w:rsidR="002A3ACA" w:rsidRDefault="002A3ACA">
      <w:pPr>
        <w:widowControl w:val="0"/>
        <w:pBdr>
          <w:top w:val="nil"/>
          <w:left w:val="nil"/>
          <w:bottom w:val="nil"/>
          <w:right w:val="nil"/>
          <w:between w:val="nil"/>
        </w:pBdr>
        <w:jc w:val="both"/>
        <w:rPr>
          <w:rFonts w:ascii="Arial" w:eastAsia="Arial" w:hAnsi="Arial" w:cs="Arial"/>
          <w:sz w:val="22"/>
          <w:szCs w:val="22"/>
        </w:rPr>
      </w:pPr>
    </w:p>
    <w:p w14:paraId="1FFAA543" w14:textId="77777777" w:rsidR="002A3ACA" w:rsidRDefault="00471A97">
      <w:pPr>
        <w:widowControl w:val="0"/>
        <w:pBdr>
          <w:top w:val="nil"/>
          <w:left w:val="nil"/>
          <w:bottom w:val="nil"/>
          <w:right w:val="nil"/>
          <w:between w:val="nil"/>
        </w:pBdr>
        <w:jc w:val="both"/>
        <w:rPr>
          <w:rFonts w:ascii="Arial" w:eastAsia="Arial" w:hAnsi="Arial" w:cs="Arial"/>
          <w:sz w:val="22"/>
          <w:szCs w:val="22"/>
        </w:rPr>
      </w:pPr>
      <w:bookmarkStart w:id="3" w:name="_heading=h.3znysh7" w:colFirst="0" w:colLast="0"/>
      <w:bookmarkEnd w:id="3"/>
      <w:r>
        <w:rPr>
          <w:rFonts w:ascii="Arial" w:eastAsia="Arial" w:hAnsi="Arial" w:cs="Arial"/>
          <w:sz w:val="22"/>
          <w:szCs w:val="22"/>
        </w:rPr>
        <w:t>Que, una vez surtidas las actuaciones procesales pertinentes, esta Dirección mediante Resolución No. 825 del 01 de agosto de 2018, "</w:t>
      </w:r>
      <w:r>
        <w:rPr>
          <w:rFonts w:ascii="Arial" w:eastAsia="Arial" w:hAnsi="Arial" w:cs="Arial"/>
          <w:i/>
          <w:iCs/>
          <w:sz w:val="22"/>
          <w:szCs w:val="22"/>
        </w:rPr>
        <w:t>Por la cual se impone una sanción y se imparte una orden</w:t>
      </w:r>
      <w:r>
        <w:rPr>
          <w:rFonts w:ascii="Arial" w:eastAsia="Arial" w:hAnsi="Arial" w:cs="Arial"/>
          <w:sz w:val="22"/>
          <w:szCs w:val="22"/>
        </w:rPr>
        <w:t xml:space="preserve">", multó a la sociedad enajenadora </w:t>
      </w:r>
      <w:r>
        <w:rPr>
          <w:rFonts w:ascii="Arial" w:eastAsia="Arial" w:hAnsi="Arial" w:cs="Arial"/>
          <w:sz w:val="22"/>
          <w:szCs w:val="22"/>
          <w:highlight w:val="white"/>
        </w:rPr>
        <w:t>INVERSIONES INMOBILIARIAS ZENIT S.A.S. EN LIQUIDACIÓN,</w:t>
      </w:r>
      <w:r>
        <w:rPr>
          <w:rFonts w:ascii="Arial" w:eastAsia="Arial" w:hAnsi="Arial" w:cs="Arial"/>
          <w:sz w:val="22"/>
          <w:szCs w:val="22"/>
        </w:rPr>
        <w:t xml:space="preserve"> identificada con NIT No.900.410.744-5, representada legalmente (o quien haga sus veces) por el señor FERNANDO ALBERTO BARROS SÁNCHEZ, con la suma de CIENTO VEINTICINCO MIL UN PESOS ($125.001), que corresponden a DIECIOCHO MILLONES CUARENTA Y OCHO MIL SETECIENTOS OCHENTA Y NUEVE PESOS ($18.048.789) M/CT.</w:t>
      </w:r>
    </w:p>
    <w:p w14:paraId="6DA2B09D" w14:textId="77777777" w:rsidR="002A3ACA" w:rsidRDefault="002A3ACA">
      <w:pPr>
        <w:widowControl w:val="0"/>
        <w:pBdr>
          <w:top w:val="nil"/>
          <w:left w:val="nil"/>
          <w:bottom w:val="nil"/>
          <w:right w:val="nil"/>
          <w:between w:val="nil"/>
        </w:pBdr>
        <w:jc w:val="both"/>
        <w:rPr>
          <w:rFonts w:ascii="Arial" w:eastAsia="Arial" w:hAnsi="Arial" w:cs="Arial"/>
          <w:sz w:val="22"/>
          <w:szCs w:val="22"/>
        </w:rPr>
      </w:pPr>
      <w:bookmarkStart w:id="4" w:name="_heading=h.1jd80eymxi61" w:colFirst="0" w:colLast="0"/>
      <w:bookmarkEnd w:id="4"/>
    </w:p>
    <w:p w14:paraId="155E567F" w14:textId="77777777" w:rsidR="002A3ACA" w:rsidRDefault="00471A97">
      <w:pPr>
        <w:widowControl w:val="0"/>
        <w:pBdr>
          <w:top w:val="nil"/>
          <w:left w:val="nil"/>
          <w:bottom w:val="nil"/>
          <w:right w:val="nil"/>
          <w:between w:val="nil"/>
        </w:pBdr>
        <w:jc w:val="both"/>
        <w:rPr>
          <w:rFonts w:ascii="Arial" w:eastAsia="Arial" w:hAnsi="Arial" w:cs="Arial"/>
          <w:sz w:val="22"/>
          <w:szCs w:val="22"/>
        </w:rPr>
      </w:pPr>
      <w:bookmarkStart w:id="5" w:name="_heading=h.4m4q6b1tjgvg" w:colFirst="0" w:colLast="0"/>
      <w:bookmarkEnd w:id="5"/>
      <w:r>
        <w:rPr>
          <w:rFonts w:ascii="Arial" w:eastAsia="Arial" w:hAnsi="Arial" w:cs="Arial"/>
          <w:sz w:val="22"/>
          <w:szCs w:val="22"/>
        </w:rPr>
        <w:t>Que, en los artículos segundo, tercero y cuarto de la Resolución No. 825 del 01 de agosto de 2018, “</w:t>
      </w:r>
      <w:r>
        <w:rPr>
          <w:rFonts w:ascii="Arial" w:eastAsia="Arial" w:hAnsi="Arial" w:cs="Arial"/>
          <w:i/>
          <w:iCs/>
          <w:sz w:val="22"/>
          <w:szCs w:val="22"/>
        </w:rPr>
        <w:t>Por la cual se impone una sanción y se imparte una orden</w:t>
      </w:r>
      <w:r>
        <w:rPr>
          <w:rFonts w:ascii="Arial" w:eastAsia="Arial" w:hAnsi="Arial" w:cs="Arial"/>
          <w:sz w:val="22"/>
          <w:szCs w:val="22"/>
        </w:rPr>
        <w:t xml:space="preserve">”, se estableció: </w:t>
      </w:r>
    </w:p>
    <w:p w14:paraId="5F29097F" w14:textId="77777777" w:rsidR="002A3ACA" w:rsidRDefault="002A3ACA">
      <w:pPr>
        <w:ind w:right="680"/>
        <w:jc w:val="both"/>
        <w:rPr>
          <w:rFonts w:ascii="Arial" w:eastAsia="Arial" w:hAnsi="Arial" w:cs="Arial"/>
          <w:i/>
          <w:iCs/>
          <w:sz w:val="22"/>
          <w:szCs w:val="22"/>
        </w:rPr>
      </w:pPr>
    </w:p>
    <w:p w14:paraId="445E324A" w14:textId="77777777" w:rsidR="002A3ACA" w:rsidRDefault="00471A97">
      <w:pPr>
        <w:spacing w:line="276" w:lineRule="auto"/>
        <w:ind w:left="720"/>
        <w:jc w:val="both"/>
        <w:rPr>
          <w:rFonts w:ascii="Arial" w:eastAsia="Arial" w:hAnsi="Arial" w:cs="Arial"/>
          <w:i/>
          <w:iCs/>
          <w:sz w:val="22"/>
          <w:szCs w:val="22"/>
        </w:rPr>
      </w:pPr>
      <w:r>
        <w:rPr>
          <w:rFonts w:ascii="Arial" w:eastAsia="Arial" w:hAnsi="Arial" w:cs="Arial"/>
          <w:b/>
          <w:bCs/>
          <w:i/>
          <w:iCs/>
          <w:sz w:val="22"/>
          <w:szCs w:val="22"/>
        </w:rPr>
        <w:t>ARTÍCULO SEGUNDO:</w:t>
      </w:r>
      <w:r>
        <w:rPr>
          <w:rFonts w:ascii="Arial" w:eastAsia="Arial" w:hAnsi="Arial" w:cs="Arial"/>
          <w:i/>
          <w:iCs/>
          <w:sz w:val="22"/>
          <w:szCs w:val="22"/>
        </w:rPr>
        <w:t xml:space="preserve"> Requerir a la sociedad enajenadora INVERSIONES INMOBILIARIAS ZENIT S.A.S., identificado con No.900.410.744-5, representada legalmente (o quien haga sus veces) por el señor FLANANDO ALBERTO BARROS SANCHEZ , para que dentro del término de cuatro (4) meses (calendario) siguientes a la ejecutoria del presente acto administrativo se acoja a la normatividad infringida, para lo cual deberá realizar los trabajos tendientes a solucionar en forma definitiva los hechos que afectan las áreas privadas del apartamento 3</w:t>
      </w:r>
      <w:r>
        <w:rPr>
          <w:rFonts w:ascii="Arial" w:eastAsia="Arial" w:hAnsi="Arial" w:cs="Arial"/>
          <w:i/>
          <w:iCs/>
          <w:sz w:val="22"/>
          <w:szCs w:val="22"/>
        </w:rPr>
        <w:t xml:space="preserve">03 del proyecto de vivienda EDIFICIO GHARA, consistentes en "MALA CALIDAD DEL PISO DE MADERA QUE FUE INSTALADO EN EL APARTAMENTO" constituye deficiencias </w:t>
      </w:r>
      <w:r>
        <w:rPr>
          <w:rFonts w:ascii="Arial" w:eastAsia="Arial" w:hAnsi="Arial" w:cs="Arial"/>
          <w:i/>
          <w:iCs/>
          <w:sz w:val="22"/>
          <w:szCs w:val="22"/>
        </w:rPr>
        <w:lastRenderedPageBreak/>
        <w:t>constructivas, calificada como afectación grave conforme al Informe de Verificación de Hechos No. 16-985 del 26 de septiembre de 2016 (folio 22 y 23); lo anterior en el evento de que dichos hechos no hayan sido intervenidos al momento de la notificación de la presente Resolución.</w:t>
      </w:r>
    </w:p>
    <w:p w14:paraId="6CBC22F6" w14:textId="77777777" w:rsidR="002A3ACA" w:rsidRDefault="002A3ACA">
      <w:pPr>
        <w:spacing w:line="276" w:lineRule="auto"/>
        <w:ind w:left="720"/>
        <w:jc w:val="both"/>
        <w:rPr>
          <w:rFonts w:ascii="Arial" w:eastAsia="Arial" w:hAnsi="Arial" w:cs="Arial"/>
          <w:i/>
          <w:iCs/>
          <w:sz w:val="22"/>
          <w:szCs w:val="22"/>
        </w:rPr>
      </w:pPr>
    </w:p>
    <w:p w14:paraId="08962EA8" w14:textId="77777777" w:rsidR="002A3ACA" w:rsidRDefault="00471A97">
      <w:pPr>
        <w:spacing w:line="276" w:lineRule="auto"/>
        <w:ind w:left="720"/>
        <w:jc w:val="both"/>
        <w:rPr>
          <w:rFonts w:ascii="Arial" w:eastAsia="Arial" w:hAnsi="Arial" w:cs="Arial"/>
          <w:i/>
          <w:iCs/>
          <w:sz w:val="22"/>
          <w:szCs w:val="22"/>
        </w:rPr>
      </w:pPr>
      <w:r>
        <w:rPr>
          <w:rFonts w:ascii="Arial" w:eastAsia="Arial" w:hAnsi="Arial" w:cs="Arial"/>
          <w:b/>
          <w:bCs/>
          <w:i/>
          <w:iCs/>
          <w:sz w:val="22"/>
          <w:szCs w:val="22"/>
        </w:rPr>
        <w:t>ARTÍCULO TERCERO:</w:t>
      </w:r>
      <w:r>
        <w:rPr>
          <w:rFonts w:ascii="Arial" w:eastAsia="Arial" w:hAnsi="Arial" w:cs="Arial"/>
          <w:i/>
          <w:iCs/>
          <w:sz w:val="22"/>
          <w:szCs w:val="22"/>
        </w:rPr>
        <w:t xml:space="preserve"> Ordenar a la sociedad enajenadora INVERSIONES INMOBILIARIAS ZENIT S.A.S., identificado con NIT No.900.410.744-5, representada legalmente (o quien haga sus veces) por el señor FERNANDO ALBERTO BARROS SANCHEZ, para que dentro de los diez (10) días (hábiles) siguientes al cumplimiento del término otorgado en el artículo anterior, acredite ante este Despacho la realización de las labores de corrección sobre los citados hechos.</w:t>
      </w:r>
    </w:p>
    <w:p w14:paraId="04889D1B" w14:textId="77777777" w:rsidR="002A3ACA" w:rsidRDefault="002A3ACA">
      <w:pPr>
        <w:spacing w:line="276" w:lineRule="auto"/>
        <w:ind w:left="720"/>
        <w:jc w:val="both"/>
        <w:rPr>
          <w:rFonts w:ascii="Arial" w:eastAsia="Arial" w:hAnsi="Arial" w:cs="Arial"/>
          <w:i/>
          <w:iCs/>
          <w:sz w:val="22"/>
          <w:szCs w:val="22"/>
        </w:rPr>
      </w:pPr>
    </w:p>
    <w:p w14:paraId="07FFBF85" w14:textId="77777777" w:rsidR="002A3ACA" w:rsidRDefault="00471A97">
      <w:pPr>
        <w:spacing w:line="276" w:lineRule="auto"/>
        <w:ind w:left="720"/>
        <w:jc w:val="both"/>
        <w:rPr>
          <w:rFonts w:ascii="Arial" w:eastAsia="Arial" w:hAnsi="Arial" w:cs="Arial"/>
          <w:i/>
          <w:iCs/>
          <w:sz w:val="22"/>
          <w:szCs w:val="22"/>
        </w:rPr>
      </w:pPr>
      <w:r>
        <w:rPr>
          <w:rFonts w:ascii="Arial" w:eastAsia="Arial" w:hAnsi="Arial" w:cs="Arial"/>
          <w:b/>
          <w:bCs/>
          <w:i/>
          <w:iCs/>
          <w:sz w:val="22"/>
          <w:szCs w:val="22"/>
        </w:rPr>
        <w:t>ARTÍCULO CUARTO:</w:t>
      </w:r>
      <w:r>
        <w:rPr>
          <w:rFonts w:ascii="Arial" w:eastAsia="Arial" w:hAnsi="Arial" w:cs="Arial"/>
          <w:i/>
          <w:iCs/>
          <w:sz w:val="22"/>
          <w:szCs w:val="22"/>
        </w:rPr>
        <w:t xml:space="preserve"> El incumplimiento al requerimiento formulado en el artículo segundo, salvo que el quejoso o interesados impidan la realización de las obras ordenadas, situación que deberá poner en conocimiento inmediato a la Subdirección de Investigaciones y Control de Vivienda, dará lugar a la imposición de sanción, consistente en multa de entre $10.000 a $500.000, que serán indexados en el tiempo en que se verifique el incumplimiento, por cada seis (6) meses (calendario) de retardo al vencimiento de la fecha establecida</w:t>
      </w:r>
      <w:r>
        <w:rPr>
          <w:rFonts w:ascii="Arial" w:eastAsia="Arial" w:hAnsi="Arial" w:cs="Arial"/>
          <w:i/>
          <w:iCs/>
          <w:sz w:val="22"/>
          <w:szCs w:val="22"/>
        </w:rPr>
        <w:t xml:space="preserve"> para el efecto, de conformidad con lo dispuesto en el inciso segundo numeral 9 del artículo 2° del Decreto Ley 078 de 1987.</w:t>
      </w:r>
    </w:p>
    <w:p w14:paraId="79631952" w14:textId="77777777" w:rsidR="002A3ACA" w:rsidRDefault="002A3ACA">
      <w:pPr>
        <w:spacing w:line="276" w:lineRule="auto"/>
        <w:ind w:left="720"/>
        <w:jc w:val="both"/>
        <w:rPr>
          <w:rFonts w:ascii="Arial" w:eastAsia="Arial" w:hAnsi="Arial" w:cs="Arial"/>
          <w:i/>
          <w:iCs/>
          <w:sz w:val="22"/>
          <w:szCs w:val="22"/>
        </w:rPr>
      </w:pPr>
    </w:p>
    <w:p w14:paraId="69CF4DFB" w14:textId="77777777" w:rsidR="002A3ACA" w:rsidRDefault="00471A97">
      <w:pPr>
        <w:spacing w:line="276" w:lineRule="auto"/>
        <w:jc w:val="both"/>
        <w:rPr>
          <w:rFonts w:ascii="Arial" w:eastAsia="Arial" w:hAnsi="Arial" w:cs="Arial"/>
          <w:sz w:val="22"/>
          <w:szCs w:val="22"/>
        </w:rPr>
      </w:pPr>
      <w:r>
        <w:rPr>
          <w:rFonts w:ascii="Arial" w:eastAsia="Arial" w:hAnsi="Arial" w:cs="Arial"/>
          <w:sz w:val="22"/>
          <w:szCs w:val="22"/>
        </w:rPr>
        <w:t xml:space="preserve">Que, luego de notificada en debida forma las partes, contra la Resolución No. 825 del 01 de agosto de 2018 no se interpuso recurso alguno, quedando así debidamente ejecutoriada el once (11) de enero de 2019. </w:t>
      </w:r>
    </w:p>
    <w:p w14:paraId="50EF854D" w14:textId="77777777" w:rsidR="002A3ACA" w:rsidRDefault="002A3ACA">
      <w:pPr>
        <w:spacing w:line="276" w:lineRule="auto"/>
        <w:jc w:val="both"/>
        <w:rPr>
          <w:rFonts w:ascii="Arial" w:eastAsia="Arial" w:hAnsi="Arial" w:cs="Arial"/>
          <w:sz w:val="22"/>
          <w:szCs w:val="22"/>
        </w:rPr>
      </w:pPr>
    </w:p>
    <w:p w14:paraId="0FD9C320" w14:textId="77777777" w:rsidR="002A3ACA" w:rsidRDefault="00471A97">
      <w:pPr>
        <w:spacing w:line="276" w:lineRule="auto"/>
        <w:jc w:val="both"/>
        <w:rPr>
          <w:rFonts w:ascii="Arial" w:eastAsia="Arial" w:hAnsi="Arial" w:cs="Arial"/>
          <w:sz w:val="22"/>
          <w:szCs w:val="22"/>
        </w:rPr>
      </w:pPr>
      <w:r>
        <w:rPr>
          <w:rFonts w:ascii="Arial" w:eastAsia="Arial" w:hAnsi="Arial" w:cs="Arial"/>
          <w:sz w:val="22"/>
          <w:szCs w:val="22"/>
        </w:rPr>
        <w:t>Que, mediante radicados 2-2019-36564 y 2-2019-36565 del 12 de julio de 2019 este despacho requiere a las partes para que en un término de diez (10) días acredite el cumplimiento de los hechos ordenados en la Resolución No. 825 del 01 de agosto de 2018.</w:t>
      </w:r>
    </w:p>
    <w:p w14:paraId="301F6889" w14:textId="77777777" w:rsidR="002A3ACA" w:rsidRDefault="002A3ACA">
      <w:pPr>
        <w:spacing w:line="276" w:lineRule="auto"/>
        <w:jc w:val="both"/>
        <w:rPr>
          <w:rFonts w:ascii="Arial" w:eastAsia="Arial" w:hAnsi="Arial" w:cs="Arial"/>
          <w:sz w:val="22"/>
          <w:szCs w:val="22"/>
        </w:rPr>
      </w:pPr>
    </w:p>
    <w:p w14:paraId="3FFA154E" w14:textId="77777777" w:rsidR="002A3ACA" w:rsidRDefault="00471A97">
      <w:pPr>
        <w:spacing w:line="276" w:lineRule="auto"/>
        <w:jc w:val="both"/>
        <w:rPr>
          <w:rFonts w:ascii="Arial" w:eastAsia="Arial" w:hAnsi="Arial" w:cs="Arial"/>
          <w:sz w:val="22"/>
          <w:szCs w:val="22"/>
        </w:rPr>
      </w:pPr>
      <w:r>
        <w:rPr>
          <w:rFonts w:ascii="Arial" w:eastAsia="Arial" w:hAnsi="Arial" w:cs="Arial"/>
          <w:sz w:val="22"/>
          <w:szCs w:val="22"/>
        </w:rPr>
        <w:t>Que, posteriormente mediante radicados 2-2024-58135 y 2-2024-58136 del 13 de diciembre de 2024, nuevamente este despacho requiere a las partes para que en un término de quince (15) días acredite el cumplimiento de los hechos ordenados en la Resolución No. 825 del 01 de agosto de 2018.</w:t>
      </w:r>
    </w:p>
    <w:p w14:paraId="78101A63" w14:textId="77777777" w:rsidR="002A3ACA" w:rsidRDefault="002A3ACA">
      <w:pPr>
        <w:spacing w:line="276" w:lineRule="auto"/>
        <w:jc w:val="both"/>
        <w:rPr>
          <w:rFonts w:ascii="Arial" w:eastAsia="Arial" w:hAnsi="Arial" w:cs="Arial"/>
          <w:sz w:val="22"/>
          <w:szCs w:val="22"/>
        </w:rPr>
      </w:pPr>
    </w:p>
    <w:p w14:paraId="1CD14BFE" w14:textId="77777777" w:rsidR="002A3ACA" w:rsidRDefault="00471A97">
      <w:pPr>
        <w:spacing w:line="276" w:lineRule="auto"/>
        <w:jc w:val="both"/>
        <w:rPr>
          <w:rFonts w:ascii="Arial" w:eastAsia="Arial" w:hAnsi="Arial" w:cs="Arial"/>
          <w:sz w:val="22"/>
          <w:szCs w:val="22"/>
        </w:rPr>
      </w:pPr>
      <w:r>
        <w:rPr>
          <w:rFonts w:ascii="Arial" w:eastAsia="Arial" w:hAnsi="Arial" w:cs="Arial"/>
          <w:sz w:val="22"/>
          <w:szCs w:val="22"/>
        </w:rPr>
        <w:t xml:space="preserve">Que, la parte quejosa dio respuesta a este requerimiento mediante radicado 1-2024-46139 del 23 de diciembre de 2024 informando que no hay acciones ni comunicaciones por parte de la sociedad enajenadora. Respuesta que fue agregada al expediente a través de radicado 2-2025-501 del 09 de enero de 2025. </w:t>
      </w:r>
    </w:p>
    <w:p w14:paraId="245D04D9" w14:textId="77777777" w:rsidR="002A3ACA" w:rsidRDefault="002A3ACA">
      <w:pPr>
        <w:spacing w:line="276" w:lineRule="auto"/>
        <w:jc w:val="both"/>
        <w:rPr>
          <w:rFonts w:ascii="Arial" w:eastAsia="Arial" w:hAnsi="Arial" w:cs="Arial"/>
          <w:sz w:val="22"/>
          <w:szCs w:val="22"/>
        </w:rPr>
      </w:pPr>
    </w:p>
    <w:p w14:paraId="1F8FCDCE" w14:textId="53AC3C93" w:rsidR="002A3ACA" w:rsidRDefault="00471A97">
      <w:pPr>
        <w:spacing w:line="276" w:lineRule="auto"/>
        <w:jc w:val="both"/>
        <w:rPr>
          <w:rFonts w:ascii="Arial" w:eastAsia="Arial" w:hAnsi="Arial" w:cs="Arial"/>
          <w:sz w:val="22"/>
          <w:szCs w:val="22"/>
        </w:rPr>
      </w:pPr>
      <w:r>
        <w:rPr>
          <w:rFonts w:ascii="Arial" w:eastAsia="Arial" w:hAnsi="Arial" w:cs="Arial"/>
          <w:sz w:val="22"/>
          <w:szCs w:val="22"/>
        </w:rPr>
        <w:t xml:space="preserve">Que, posteriormente mediante radicados 2-2025-14065 y 2-2025-14066 del 26 de marzo de 2025, este Despacho informa a las partes de la visita de carácter técnico que se llevará a cabo el 08 de abril de 2025 con el fin de verificar las obras ordenadas en la Resolución No. 825 del 01 de agosto de 2018. Que, a la vista de carácter técnico no asistió ninguna de las partes pese a la debida notificación de </w:t>
      </w:r>
      <w:r w:rsidR="00BE3047">
        <w:rPr>
          <w:rFonts w:ascii="Arial" w:eastAsia="Arial" w:hAnsi="Arial" w:cs="Arial"/>
          <w:sz w:val="22"/>
          <w:szCs w:val="22"/>
        </w:rPr>
        <w:t>esta</w:t>
      </w:r>
      <w:r>
        <w:rPr>
          <w:rFonts w:ascii="Arial" w:eastAsia="Arial" w:hAnsi="Arial" w:cs="Arial"/>
          <w:sz w:val="22"/>
          <w:szCs w:val="22"/>
        </w:rPr>
        <w:t xml:space="preserve">. </w:t>
      </w:r>
    </w:p>
    <w:p w14:paraId="6AD70A8F" w14:textId="77777777" w:rsidR="002A3ACA" w:rsidRDefault="002A3ACA">
      <w:pPr>
        <w:spacing w:line="276" w:lineRule="auto"/>
        <w:jc w:val="both"/>
        <w:rPr>
          <w:rFonts w:ascii="Arial" w:eastAsia="Arial" w:hAnsi="Arial" w:cs="Arial"/>
          <w:sz w:val="22"/>
          <w:szCs w:val="22"/>
        </w:rPr>
      </w:pPr>
    </w:p>
    <w:p w14:paraId="56BD0F07" w14:textId="77777777" w:rsidR="002A3ACA" w:rsidRDefault="00471A97">
      <w:pPr>
        <w:spacing w:line="276" w:lineRule="auto"/>
        <w:jc w:val="both"/>
        <w:rPr>
          <w:rFonts w:ascii="Arial" w:eastAsia="Arial" w:hAnsi="Arial" w:cs="Arial"/>
          <w:sz w:val="22"/>
          <w:szCs w:val="22"/>
        </w:rPr>
      </w:pPr>
      <w:r>
        <w:rPr>
          <w:rFonts w:ascii="Arial" w:eastAsia="Arial" w:hAnsi="Arial" w:cs="Arial"/>
          <w:sz w:val="22"/>
          <w:szCs w:val="22"/>
        </w:rPr>
        <w:t>Que, nuevamente mediante radicados 2-2025-27356 y 2-2025-27357 del 27 de mayo de 2025 este despacho informa a las partes de la visita de carácter técnico que se llevará a cabo el 13 de junio de 2025 con el fin de verificar las obras ordenadas en la Resolución No. 825 del 01 de agosto de 2018.</w:t>
      </w:r>
    </w:p>
    <w:p w14:paraId="2DF65BC8" w14:textId="77777777" w:rsidR="002A3ACA" w:rsidRDefault="002A3ACA">
      <w:pPr>
        <w:spacing w:line="276" w:lineRule="auto"/>
        <w:jc w:val="both"/>
        <w:rPr>
          <w:rFonts w:ascii="Arial" w:eastAsia="Arial" w:hAnsi="Arial" w:cs="Arial"/>
          <w:sz w:val="22"/>
          <w:szCs w:val="22"/>
        </w:rPr>
      </w:pPr>
    </w:p>
    <w:p w14:paraId="1FA33A80" w14:textId="5B30DC24" w:rsidR="002A3ACA" w:rsidRDefault="00471A97" w:rsidP="002C1537">
      <w:pPr>
        <w:spacing w:line="276" w:lineRule="auto"/>
        <w:jc w:val="both"/>
        <w:rPr>
          <w:rFonts w:ascii="Arial" w:eastAsia="Arial" w:hAnsi="Arial" w:cs="Arial"/>
          <w:sz w:val="22"/>
          <w:szCs w:val="22"/>
        </w:rPr>
      </w:pPr>
      <w:r>
        <w:rPr>
          <w:rFonts w:ascii="Arial" w:eastAsia="Arial" w:hAnsi="Arial" w:cs="Arial"/>
          <w:sz w:val="22"/>
          <w:szCs w:val="22"/>
        </w:rPr>
        <w:t xml:space="preserve">Que, por segunda vez, a la vista de carácter técnico no asistió ninguna de las partes pese a la debida notificación de </w:t>
      </w:r>
      <w:proofErr w:type="gramStart"/>
      <w:r>
        <w:rPr>
          <w:rFonts w:ascii="Arial" w:eastAsia="Arial" w:hAnsi="Arial" w:cs="Arial"/>
          <w:sz w:val="22"/>
          <w:szCs w:val="22"/>
        </w:rPr>
        <w:t>la misma</w:t>
      </w:r>
      <w:proofErr w:type="gramEnd"/>
      <w:r>
        <w:rPr>
          <w:rFonts w:ascii="Arial" w:eastAsia="Arial" w:hAnsi="Arial" w:cs="Arial"/>
          <w:sz w:val="22"/>
          <w:szCs w:val="22"/>
        </w:rPr>
        <w:t xml:space="preserve">. Que, posterior a las visitas de carácter técnico se deriva el Informe de Verificación de Hechos No. 25-237 del 25 de junio de 2025 que encontró </w:t>
      </w:r>
      <w:r w:rsidR="002C1537">
        <w:rPr>
          <w:rFonts w:ascii="Arial" w:eastAsia="Arial" w:hAnsi="Arial" w:cs="Arial"/>
          <w:sz w:val="22"/>
          <w:szCs w:val="22"/>
        </w:rPr>
        <w:t xml:space="preserve">que no asistió el quejoso </w:t>
      </w:r>
    </w:p>
    <w:p w14:paraId="75ADAC76" w14:textId="77777777" w:rsidR="002C1537" w:rsidRDefault="002C1537" w:rsidP="002C1537">
      <w:pPr>
        <w:spacing w:line="276" w:lineRule="auto"/>
        <w:jc w:val="both"/>
        <w:rPr>
          <w:rFonts w:ascii="Arial" w:eastAsia="Arial" w:hAnsi="Arial" w:cs="Arial"/>
          <w:sz w:val="22"/>
          <w:szCs w:val="22"/>
        </w:rPr>
      </w:pPr>
    </w:p>
    <w:p w14:paraId="5408006A" w14:textId="415EA454" w:rsidR="002A3ACA" w:rsidRDefault="00471A97">
      <w:pPr>
        <w:spacing w:line="276" w:lineRule="auto"/>
        <w:jc w:val="both"/>
        <w:rPr>
          <w:rFonts w:ascii="Arial" w:eastAsia="Arial" w:hAnsi="Arial" w:cs="Arial"/>
          <w:b/>
          <w:bCs/>
          <w:i/>
          <w:iCs/>
          <w:color w:val="FF9900"/>
          <w:sz w:val="22"/>
          <w:szCs w:val="22"/>
        </w:rPr>
      </w:pPr>
      <w:r>
        <w:rPr>
          <w:rFonts w:ascii="Arial" w:eastAsia="Arial" w:hAnsi="Arial" w:cs="Arial"/>
          <w:sz w:val="22"/>
          <w:szCs w:val="22"/>
        </w:rPr>
        <w:t xml:space="preserve">Que, posteriormente, mediante radicados 2-2025-70797 y 2-2025-70798 del 28 de octubre de 2025 por tercera vez este despacho requiere a las partes para que en un término de quince (15) </w:t>
      </w:r>
      <w:r w:rsidR="00BE3047">
        <w:rPr>
          <w:rFonts w:ascii="Arial" w:eastAsia="Arial" w:hAnsi="Arial" w:cs="Arial"/>
          <w:sz w:val="22"/>
          <w:szCs w:val="22"/>
        </w:rPr>
        <w:t>días</w:t>
      </w:r>
      <w:r>
        <w:rPr>
          <w:rFonts w:ascii="Arial" w:eastAsia="Arial" w:hAnsi="Arial" w:cs="Arial"/>
          <w:sz w:val="22"/>
          <w:szCs w:val="22"/>
        </w:rPr>
        <w:t xml:space="preserve"> acredite el cumplimiento de los hechos ordenados en la Resolución No. 825 del 01 de agosto de 2018.</w:t>
      </w:r>
    </w:p>
    <w:p w14:paraId="5204BA06" w14:textId="77777777" w:rsidR="002A3ACA" w:rsidRDefault="002A3ACA">
      <w:pPr>
        <w:widowControl w:val="0"/>
        <w:ind w:right="-92"/>
        <w:jc w:val="both"/>
        <w:rPr>
          <w:rFonts w:ascii="Arial" w:eastAsia="Arial" w:hAnsi="Arial" w:cs="Arial"/>
          <w:sz w:val="22"/>
          <w:szCs w:val="22"/>
        </w:rPr>
      </w:pPr>
    </w:p>
    <w:p w14:paraId="1A615804" w14:textId="77777777" w:rsidR="002A3ACA" w:rsidRDefault="00471A97">
      <w:pPr>
        <w:widowControl w:val="0"/>
        <w:ind w:right="-92"/>
        <w:jc w:val="both"/>
        <w:rPr>
          <w:rFonts w:ascii="Arial" w:eastAsia="Arial" w:hAnsi="Arial" w:cs="Arial"/>
          <w:sz w:val="22"/>
          <w:szCs w:val="22"/>
        </w:rPr>
      </w:pPr>
      <w:r>
        <w:rPr>
          <w:rFonts w:ascii="Arial" w:eastAsia="Arial" w:hAnsi="Arial" w:cs="Arial"/>
          <w:sz w:val="22"/>
          <w:szCs w:val="22"/>
        </w:rPr>
        <w:t>Que, de acuerdo con lo anterior, la Dirección procede a determinar si en el caso aquí analizado, resulta procedente la imposición de multas sucesivas, de conformidad a lo expuesto en el inciso segundo, numeral 9º del artículo 2º del Decreto Ley 078 de 1987</w:t>
      </w:r>
      <w:r>
        <w:rPr>
          <w:rFonts w:ascii="Arial" w:eastAsia="Arial" w:hAnsi="Arial" w:cs="Arial"/>
          <w:i/>
          <w:iCs/>
          <w:sz w:val="22"/>
          <w:szCs w:val="22"/>
        </w:rPr>
        <w:t xml:space="preserve">, </w:t>
      </w:r>
      <w:r>
        <w:rPr>
          <w:rFonts w:ascii="Arial" w:eastAsia="Arial" w:hAnsi="Arial" w:cs="Arial"/>
          <w:sz w:val="22"/>
          <w:szCs w:val="22"/>
        </w:rPr>
        <w:t>o la culminación de la actuación administrativa de seguimiento, previo el siguiente:</w:t>
      </w:r>
    </w:p>
    <w:p w14:paraId="237A5125" w14:textId="77777777" w:rsidR="002A3ACA" w:rsidRDefault="002A3ACA">
      <w:pPr>
        <w:pBdr>
          <w:top w:val="nil"/>
          <w:left w:val="nil"/>
          <w:bottom w:val="nil"/>
          <w:right w:val="nil"/>
          <w:between w:val="nil"/>
        </w:pBdr>
        <w:ind w:left="-284" w:right="-92"/>
        <w:jc w:val="center"/>
        <w:rPr>
          <w:rFonts w:ascii="Arial" w:eastAsia="Arial" w:hAnsi="Arial" w:cs="Arial"/>
          <w:b/>
          <w:bCs/>
          <w:sz w:val="22"/>
          <w:szCs w:val="22"/>
        </w:rPr>
      </w:pPr>
    </w:p>
    <w:p w14:paraId="2687BB0E" w14:textId="77777777" w:rsidR="002A3ACA" w:rsidRDefault="00471A97">
      <w:pPr>
        <w:widowControl w:val="0"/>
        <w:jc w:val="center"/>
        <w:rPr>
          <w:rFonts w:ascii="Arial" w:eastAsia="Arial" w:hAnsi="Arial" w:cs="Arial"/>
          <w:b/>
          <w:bCs/>
          <w:sz w:val="22"/>
          <w:szCs w:val="22"/>
        </w:rPr>
      </w:pPr>
      <w:r>
        <w:rPr>
          <w:rFonts w:ascii="Arial" w:eastAsia="Arial" w:hAnsi="Arial" w:cs="Arial"/>
          <w:b/>
          <w:bCs/>
          <w:sz w:val="22"/>
          <w:szCs w:val="22"/>
        </w:rPr>
        <w:t>ANÁLISIS DEL DESPACHO</w:t>
      </w:r>
    </w:p>
    <w:p w14:paraId="401FCDEB" w14:textId="77777777" w:rsidR="002A3ACA" w:rsidRDefault="002A3ACA">
      <w:pPr>
        <w:widowControl w:val="0"/>
        <w:jc w:val="center"/>
        <w:rPr>
          <w:rFonts w:ascii="Arial" w:eastAsia="Arial" w:hAnsi="Arial" w:cs="Arial"/>
          <w:b/>
          <w:bCs/>
          <w:sz w:val="22"/>
          <w:szCs w:val="22"/>
        </w:rPr>
      </w:pPr>
    </w:p>
    <w:p w14:paraId="1F2B954D" w14:textId="77777777" w:rsidR="002A3ACA" w:rsidRDefault="002A3ACA">
      <w:pPr>
        <w:widowControl w:val="0"/>
        <w:rPr>
          <w:rFonts w:ascii="Arial" w:eastAsia="Arial" w:hAnsi="Arial" w:cs="Arial"/>
          <w:b/>
          <w:bCs/>
          <w:sz w:val="22"/>
          <w:szCs w:val="22"/>
        </w:rPr>
      </w:pPr>
    </w:p>
    <w:p w14:paraId="660B7826" w14:textId="77777777" w:rsidR="002A3ACA" w:rsidRDefault="00471A97">
      <w:pPr>
        <w:widowControl w:val="0"/>
        <w:numPr>
          <w:ilvl w:val="0"/>
          <w:numId w:val="2"/>
        </w:numPr>
        <w:ind w:left="720" w:hanging="360"/>
        <w:rPr>
          <w:rFonts w:ascii="Arial" w:eastAsia="Arial" w:hAnsi="Arial" w:cs="Arial"/>
          <w:b/>
          <w:bCs/>
          <w:sz w:val="22"/>
          <w:szCs w:val="22"/>
        </w:rPr>
      </w:pPr>
      <w:r>
        <w:rPr>
          <w:rFonts w:ascii="Arial" w:eastAsia="Arial" w:hAnsi="Arial" w:cs="Arial"/>
          <w:b/>
          <w:bCs/>
          <w:sz w:val="22"/>
          <w:szCs w:val="22"/>
        </w:rPr>
        <w:t>FUNDAMENTO LEGAL</w:t>
      </w:r>
    </w:p>
    <w:p w14:paraId="610D2717" w14:textId="77777777" w:rsidR="002A3ACA" w:rsidRDefault="002A3ACA">
      <w:pPr>
        <w:widowControl w:val="0"/>
        <w:jc w:val="center"/>
        <w:rPr>
          <w:rFonts w:ascii="Arial" w:eastAsia="Arial" w:hAnsi="Arial" w:cs="Arial"/>
          <w:b/>
          <w:bCs/>
          <w:sz w:val="22"/>
          <w:szCs w:val="22"/>
        </w:rPr>
      </w:pPr>
    </w:p>
    <w:p w14:paraId="50A17CAA" w14:textId="77777777" w:rsidR="002A3ACA" w:rsidRDefault="00471A97">
      <w:pPr>
        <w:widowControl w:val="0"/>
        <w:jc w:val="both"/>
        <w:rPr>
          <w:rFonts w:ascii="Arial" w:eastAsia="Arial" w:hAnsi="Arial" w:cs="Arial"/>
          <w:sz w:val="22"/>
          <w:szCs w:val="22"/>
        </w:rPr>
      </w:pPr>
      <w:r>
        <w:rPr>
          <w:rFonts w:ascii="Arial" w:eastAsia="Arial" w:hAnsi="Arial" w:cs="Arial"/>
          <w:sz w:val="22"/>
          <w:szCs w:val="22"/>
        </w:rPr>
        <w:t>Debe esta Dirección partir de que la función de inspección, vigilancia y control sobre la actividad de enajenación de inmuebles destinados a vivienda, de conformidad con las Leyes 66 de 1968, 388 de 1997, Decretos Leyes 2610 de 1979 y 078 de 1987 y demás normas concordantes, se ejerce sobre las personas naturales o jurídicas que desarrollen la actividad de enajenación de vivienda en el Distrito, con el propósito de resguardar el orden social y amparar la observancia de la ley.</w:t>
      </w:r>
    </w:p>
    <w:p w14:paraId="5E386165" w14:textId="77777777" w:rsidR="002A3ACA" w:rsidRDefault="002A3ACA">
      <w:pPr>
        <w:widowControl w:val="0"/>
        <w:jc w:val="both"/>
        <w:rPr>
          <w:rFonts w:ascii="Arial" w:eastAsia="Arial" w:hAnsi="Arial" w:cs="Arial"/>
          <w:sz w:val="22"/>
          <w:szCs w:val="22"/>
        </w:rPr>
      </w:pPr>
    </w:p>
    <w:p w14:paraId="33FD3F27" w14:textId="1A2F4225" w:rsidR="002A3ACA" w:rsidRDefault="00471A97">
      <w:pPr>
        <w:widowControl w:val="0"/>
        <w:jc w:val="both"/>
        <w:rPr>
          <w:rFonts w:ascii="Arial" w:eastAsia="Arial" w:hAnsi="Arial" w:cs="Arial"/>
          <w:sz w:val="22"/>
          <w:szCs w:val="22"/>
        </w:rPr>
      </w:pPr>
      <w:r>
        <w:rPr>
          <w:rFonts w:ascii="Arial" w:eastAsia="Arial" w:hAnsi="Arial" w:cs="Arial"/>
          <w:sz w:val="22"/>
          <w:szCs w:val="22"/>
        </w:rPr>
        <w:t xml:space="preserve">Bajo este entendido, el parágrafo del artículo 111 del Decreto 653 de 2015 establece que la </w:t>
      </w:r>
      <w:r>
        <w:rPr>
          <w:rFonts w:ascii="Arial" w:eastAsia="Arial" w:hAnsi="Arial" w:cs="Arial"/>
          <w:sz w:val="22"/>
          <w:szCs w:val="22"/>
          <w:highlight w:val="white"/>
        </w:rPr>
        <w:t xml:space="preserve">Subsecretaría de Inspección, Vigilancia y Control de Vivienda de la Secretaría Distrital del Hábitat, adelantará de oficio o a petición de parte las investigaciones administrativas por </w:t>
      </w:r>
      <w:r>
        <w:rPr>
          <w:rFonts w:ascii="Arial" w:eastAsia="Arial" w:hAnsi="Arial" w:cs="Arial"/>
          <w:sz w:val="22"/>
          <w:szCs w:val="22"/>
          <w:highlight w:val="white"/>
        </w:rPr>
        <w:lastRenderedPageBreak/>
        <w:t xml:space="preserve">infracción a las normas que regulan el régimen de construcción y enajenación, autoconstrucción, arrendamiento e intermediación de vivienda, por lo que, en ejercicio de estas funciones, </w:t>
      </w:r>
      <w:r>
        <w:rPr>
          <w:rFonts w:ascii="Arial" w:eastAsia="Arial" w:hAnsi="Arial" w:cs="Arial"/>
          <w:sz w:val="22"/>
          <w:szCs w:val="22"/>
        </w:rPr>
        <w:t xml:space="preserve">esta Entidad procedió a imponer sanción mediante la </w:t>
      </w:r>
      <w:r w:rsidR="00BE3047">
        <w:rPr>
          <w:rFonts w:ascii="Arial" w:eastAsia="Arial" w:hAnsi="Arial" w:cs="Arial"/>
          <w:sz w:val="22"/>
          <w:szCs w:val="22"/>
        </w:rPr>
        <w:t>Resolución</w:t>
      </w:r>
      <w:r>
        <w:rPr>
          <w:rFonts w:ascii="Arial" w:eastAsia="Arial" w:hAnsi="Arial" w:cs="Arial"/>
          <w:sz w:val="22"/>
          <w:szCs w:val="22"/>
        </w:rPr>
        <w:t xml:space="preserve"> No. 825 del 01 de agosto de 2018 "</w:t>
      </w:r>
      <w:r>
        <w:rPr>
          <w:rFonts w:ascii="Arial" w:eastAsia="Arial" w:hAnsi="Arial" w:cs="Arial"/>
          <w:i/>
          <w:iCs/>
          <w:sz w:val="22"/>
          <w:szCs w:val="22"/>
        </w:rPr>
        <w:t>Por la cual se impone una sanción y se impart</w:t>
      </w:r>
      <w:r>
        <w:rPr>
          <w:rFonts w:ascii="Arial" w:eastAsia="Arial" w:hAnsi="Arial" w:cs="Arial"/>
          <w:i/>
          <w:iCs/>
          <w:sz w:val="22"/>
          <w:szCs w:val="22"/>
        </w:rPr>
        <w:t>e una orden</w:t>
      </w:r>
      <w:r>
        <w:rPr>
          <w:rFonts w:ascii="Arial" w:eastAsia="Arial" w:hAnsi="Arial" w:cs="Arial"/>
          <w:sz w:val="22"/>
          <w:szCs w:val="22"/>
        </w:rPr>
        <w:t xml:space="preserve">", multó a la sociedad enajenadora </w:t>
      </w:r>
      <w:r>
        <w:rPr>
          <w:rFonts w:ascii="Arial" w:eastAsia="Arial" w:hAnsi="Arial" w:cs="Arial"/>
          <w:sz w:val="22"/>
          <w:szCs w:val="22"/>
          <w:highlight w:val="white"/>
        </w:rPr>
        <w:t>INVERSIONES INMOBILIARIAS ZENIT S.A.S. EN LIQUIDACIÓN</w:t>
      </w:r>
      <w:r>
        <w:rPr>
          <w:rFonts w:ascii="Arial" w:eastAsia="Arial" w:hAnsi="Arial" w:cs="Arial"/>
          <w:sz w:val="22"/>
          <w:szCs w:val="22"/>
        </w:rPr>
        <w:t>,</w:t>
      </w:r>
      <w:r>
        <w:rPr>
          <w:rFonts w:ascii="Arial" w:eastAsia="Arial" w:hAnsi="Arial" w:cs="Arial"/>
          <w:sz w:val="22"/>
          <w:szCs w:val="22"/>
          <w:highlight w:val="white"/>
        </w:rPr>
        <w:t xml:space="preserve"> </w:t>
      </w:r>
      <w:r>
        <w:rPr>
          <w:rFonts w:ascii="Arial" w:eastAsia="Arial" w:hAnsi="Arial" w:cs="Arial"/>
          <w:sz w:val="22"/>
          <w:szCs w:val="22"/>
        </w:rPr>
        <w:t>consistente en multa y orden de hacer.</w:t>
      </w:r>
    </w:p>
    <w:p w14:paraId="156C7E62" w14:textId="77777777" w:rsidR="002A3ACA" w:rsidRDefault="002A3ACA">
      <w:pPr>
        <w:widowControl w:val="0"/>
        <w:jc w:val="both"/>
        <w:rPr>
          <w:rFonts w:ascii="Arial" w:eastAsia="Arial" w:hAnsi="Arial" w:cs="Arial"/>
          <w:sz w:val="22"/>
          <w:szCs w:val="22"/>
        </w:rPr>
      </w:pPr>
    </w:p>
    <w:p w14:paraId="7E392674" w14:textId="77777777" w:rsidR="002A3ACA" w:rsidRDefault="00471A97">
      <w:pPr>
        <w:widowControl w:val="0"/>
        <w:jc w:val="both"/>
        <w:rPr>
          <w:rFonts w:ascii="Arial" w:eastAsia="Arial" w:hAnsi="Arial" w:cs="Arial"/>
          <w:sz w:val="22"/>
          <w:szCs w:val="22"/>
        </w:rPr>
      </w:pPr>
      <w:bookmarkStart w:id="6" w:name="_heading=h.lwtbhv3cbsp7" w:colFirst="0" w:colLast="0"/>
      <w:bookmarkEnd w:id="6"/>
      <w:r>
        <w:rPr>
          <w:rFonts w:ascii="Arial" w:eastAsia="Arial" w:hAnsi="Arial" w:cs="Arial"/>
          <w:sz w:val="22"/>
          <w:szCs w:val="22"/>
        </w:rPr>
        <w:t xml:space="preserve">Ahora bien, señala el artículo 126 del Decreto Distrital 653 de 2015 que, una vez ejecutoriada la actuación que imponga una orden a los enajenadores responsables de un proyecto de vivienda, y superado el término dispuesto para su cumplimiento, se adelantará el </w:t>
      </w:r>
      <w:r>
        <w:rPr>
          <w:rFonts w:ascii="Arial" w:eastAsia="Arial" w:hAnsi="Arial" w:cs="Arial"/>
          <w:b/>
          <w:bCs/>
          <w:sz w:val="22"/>
          <w:szCs w:val="22"/>
        </w:rPr>
        <w:t>SEGUIMIENTO A LA ORDEN</w:t>
      </w:r>
      <w:r>
        <w:rPr>
          <w:rFonts w:ascii="Arial" w:eastAsia="Arial" w:hAnsi="Arial" w:cs="Arial"/>
          <w:sz w:val="22"/>
          <w:szCs w:val="22"/>
        </w:rPr>
        <w:t xml:space="preserve"> para corroborar el cumplimiento del acto administrativo que la impuso.</w:t>
      </w:r>
    </w:p>
    <w:p w14:paraId="71851A76" w14:textId="77777777" w:rsidR="002A3ACA" w:rsidRDefault="002A3ACA">
      <w:pPr>
        <w:widowControl w:val="0"/>
        <w:jc w:val="both"/>
        <w:rPr>
          <w:rFonts w:ascii="Arial" w:eastAsia="Arial" w:hAnsi="Arial" w:cs="Arial"/>
          <w:sz w:val="22"/>
          <w:szCs w:val="22"/>
        </w:rPr>
      </w:pPr>
    </w:p>
    <w:p w14:paraId="1A55177B" w14:textId="77777777" w:rsidR="002A3ACA" w:rsidRDefault="00471A97">
      <w:pPr>
        <w:widowControl w:val="0"/>
        <w:jc w:val="both"/>
        <w:rPr>
          <w:rFonts w:ascii="Arial" w:eastAsia="Arial" w:hAnsi="Arial" w:cs="Arial"/>
          <w:sz w:val="22"/>
          <w:szCs w:val="22"/>
        </w:rPr>
      </w:pPr>
      <w:r>
        <w:rPr>
          <w:rFonts w:ascii="Arial" w:eastAsia="Arial" w:hAnsi="Arial" w:cs="Arial"/>
          <w:sz w:val="22"/>
          <w:szCs w:val="22"/>
        </w:rPr>
        <w:t xml:space="preserve">Para el seguimiento a la orden, el artículo 2, numeral 9 del Decreto Ley 078 de 1987, en concordancia con el artículo 28 de la Ley 66 de 1968, modificado por el artículo 11 del Decreto Ley 2610 de 1979, establece la imposición de multas sucesivas de diez mil pesos ($10.000.oo) a quinientos mil pesos ($500.000.oo) M/cte., a las personas o entidades que </w:t>
      </w:r>
      <w:r>
        <w:rPr>
          <w:rFonts w:ascii="Arial" w:eastAsia="Arial" w:hAnsi="Arial" w:cs="Arial"/>
          <w:b/>
          <w:bCs/>
          <w:sz w:val="22"/>
          <w:szCs w:val="22"/>
          <w:u w:val="single"/>
        </w:rPr>
        <w:t>incumplan las órdenes</w:t>
      </w:r>
      <w:r>
        <w:rPr>
          <w:rFonts w:ascii="Arial" w:eastAsia="Arial" w:hAnsi="Arial" w:cs="Arial"/>
          <w:sz w:val="22"/>
          <w:szCs w:val="22"/>
        </w:rPr>
        <w:t xml:space="preserve"> o requerimientos que en uso de las facultades de inspección y vigilancia expida la autoridad de vivienda, para que se sujeten a las normas exigidas por las autoridades nacionales, departamentales, metropolitanas, municipales y distritales y/o para que se ajusten a las prescripciones de la Ley 66 de 1968. </w:t>
      </w:r>
    </w:p>
    <w:p w14:paraId="4D7291D7" w14:textId="77777777" w:rsidR="002A3ACA" w:rsidRDefault="002A3ACA">
      <w:pPr>
        <w:widowControl w:val="0"/>
        <w:jc w:val="both"/>
        <w:rPr>
          <w:rFonts w:ascii="Arial" w:eastAsia="Arial" w:hAnsi="Arial" w:cs="Arial"/>
          <w:sz w:val="22"/>
          <w:szCs w:val="22"/>
        </w:rPr>
      </w:pPr>
    </w:p>
    <w:p w14:paraId="3F51BBDF" w14:textId="77777777" w:rsidR="002A3ACA" w:rsidRDefault="00471A97">
      <w:pPr>
        <w:widowControl w:val="0"/>
        <w:jc w:val="both"/>
        <w:rPr>
          <w:rFonts w:ascii="Arial" w:eastAsia="Arial" w:hAnsi="Arial" w:cs="Arial"/>
          <w:sz w:val="22"/>
          <w:szCs w:val="22"/>
        </w:rPr>
      </w:pPr>
      <w:r>
        <w:rPr>
          <w:rFonts w:ascii="Arial" w:eastAsia="Arial" w:hAnsi="Arial" w:cs="Arial"/>
          <w:sz w:val="22"/>
          <w:szCs w:val="22"/>
        </w:rPr>
        <w:t xml:space="preserve">En el mismo sentido, el artículo 90 de la Ley 1437 de 2011, Código de Procedimiento Administrativo y de lo Contencioso Administrativo, establece que, sin perjuicio de lo dispuesto en leyes especiales, cuando un acto administrativo imponga una obligación no dineraria a un particular y este se resistiere a cumplirla, la autoridad que expidió el acto le impondrá multas sucesivas mientras permanezca en rebeldía, concediéndole plazos razonables para que cumpla lo ordenado. </w:t>
      </w:r>
    </w:p>
    <w:p w14:paraId="3DA140E4" w14:textId="77777777" w:rsidR="002A3ACA" w:rsidRDefault="002A3ACA">
      <w:pPr>
        <w:widowControl w:val="0"/>
        <w:jc w:val="both"/>
        <w:rPr>
          <w:rFonts w:ascii="Arial" w:eastAsia="Arial" w:hAnsi="Arial" w:cs="Arial"/>
          <w:sz w:val="22"/>
          <w:szCs w:val="22"/>
        </w:rPr>
      </w:pPr>
    </w:p>
    <w:p w14:paraId="6E432D5D" w14:textId="77777777" w:rsidR="002A3ACA" w:rsidRDefault="00471A97">
      <w:pPr>
        <w:widowControl w:val="0"/>
        <w:jc w:val="both"/>
        <w:rPr>
          <w:rFonts w:ascii="Arial" w:eastAsia="Arial" w:hAnsi="Arial" w:cs="Arial"/>
          <w:sz w:val="22"/>
          <w:szCs w:val="22"/>
        </w:rPr>
      </w:pPr>
      <w:r>
        <w:rPr>
          <w:rFonts w:ascii="Arial" w:eastAsia="Arial" w:hAnsi="Arial" w:cs="Arial"/>
          <w:sz w:val="22"/>
          <w:szCs w:val="22"/>
        </w:rPr>
        <w:t>En concordancia con lo expresado, viendo que de las actuaciones adelantadas no se desprende causal de nulidad alguna en el procedimiento, procede este Despacho a realizar el estudio de los elementos probatorios recaudados por esta Dirección, sobre los hechos objeto de la orden hacer contenida en la Resolución No. 825 del 01 de agosto de 2018, "</w:t>
      </w:r>
      <w:r>
        <w:rPr>
          <w:rFonts w:ascii="Arial" w:eastAsia="Arial" w:hAnsi="Arial" w:cs="Arial"/>
          <w:i/>
          <w:iCs/>
          <w:sz w:val="22"/>
          <w:szCs w:val="22"/>
        </w:rPr>
        <w:t>Por la cual se impone una sanción y se imparte una orden</w:t>
      </w:r>
      <w:r>
        <w:rPr>
          <w:rFonts w:ascii="Arial" w:eastAsia="Arial" w:hAnsi="Arial" w:cs="Arial"/>
          <w:sz w:val="22"/>
          <w:szCs w:val="22"/>
        </w:rPr>
        <w:t>", con el fin de determinar si existe mérito para imposición de nuevas multas o si se ha dado cumplimiento a la orden de hacer.</w:t>
      </w:r>
    </w:p>
    <w:p w14:paraId="22302E04" w14:textId="77777777" w:rsidR="002A3ACA" w:rsidRDefault="002A3ACA">
      <w:pPr>
        <w:widowControl w:val="0"/>
        <w:jc w:val="both"/>
        <w:rPr>
          <w:rFonts w:ascii="Arial" w:eastAsia="Arial" w:hAnsi="Arial" w:cs="Arial"/>
          <w:b/>
          <w:bCs/>
          <w:sz w:val="22"/>
          <w:szCs w:val="22"/>
        </w:rPr>
      </w:pPr>
    </w:p>
    <w:p w14:paraId="2D621237" w14:textId="77777777" w:rsidR="002A3ACA" w:rsidRDefault="00471A97">
      <w:pPr>
        <w:widowControl w:val="0"/>
        <w:numPr>
          <w:ilvl w:val="0"/>
          <w:numId w:val="1"/>
        </w:numPr>
        <w:spacing w:after="160" w:line="278" w:lineRule="auto"/>
        <w:jc w:val="both"/>
        <w:rPr>
          <w:rFonts w:ascii="Arial" w:eastAsia="Arial" w:hAnsi="Arial" w:cs="Arial"/>
          <w:b/>
          <w:bCs/>
          <w:sz w:val="22"/>
          <w:szCs w:val="22"/>
        </w:rPr>
      </w:pPr>
      <w:r>
        <w:rPr>
          <w:rFonts w:ascii="Arial" w:eastAsia="Arial" w:hAnsi="Arial" w:cs="Arial"/>
          <w:b/>
          <w:bCs/>
          <w:sz w:val="22"/>
          <w:szCs w:val="22"/>
        </w:rPr>
        <w:t xml:space="preserve"> ANÁLISIS PROBATORIO</w:t>
      </w:r>
    </w:p>
    <w:p w14:paraId="26619BC1" w14:textId="77777777" w:rsidR="002A3ACA" w:rsidRDefault="00471A97">
      <w:pPr>
        <w:widowControl w:val="0"/>
        <w:jc w:val="both"/>
        <w:rPr>
          <w:rFonts w:ascii="Arial" w:eastAsia="Arial" w:hAnsi="Arial" w:cs="Arial"/>
          <w:sz w:val="22"/>
          <w:szCs w:val="22"/>
        </w:rPr>
      </w:pPr>
      <w:r>
        <w:rPr>
          <w:rFonts w:ascii="Arial" w:eastAsia="Arial" w:hAnsi="Arial" w:cs="Arial"/>
          <w:sz w:val="22"/>
          <w:szCs w:val="22"/>
        </w:rPr>
        <w:t xml:space="preserve">En efecto, para que esta Subdirección proceda a eliminar o eximir a un vigilado del cumplimiento de una orden de hacer </w:t>
      </w:r>
      <w:proofErr w:type="gramStart"/>
      <w:r>
        <w:rPr>
          <w:rFonts w:ascii="Arial" w:eastAsia="Arial" w:hAnsi="Arial" w:cs="Arial"/>
          <w:sz w:val="22"/>
          <w:szCs w:val="22"/>
        </w:rPr>
        <w:t>en virtud a</w:t>
      </w:r>
      <w:proofErr w:type="gramEnd"/>
      <w:r>
        <w:rPr>
          <w:rFonts w:ascii="Arial" w:eastAsia="Arial" w:hAnsi="Arial" w:cs="Arial"/>
          <w:sz w:val="22"/>
          <w:szCs w:val="22"/>
        </w:rPr>
        <w:t xml:space="preserve"> la falta de colaboración por parte del quejoso aun a sabiendas de que su silencio era causal de entenderse por cumplida la orden de hacer. </w:t>
      </w:r>
    </w:p>
    <w:p w14:paraId="09A0F171" w14:textId="77777777" w:rsidR="002A3ACA" w:rsidRDefault="002A3ACA">
      <w:pPr>
        <w:widowControl w:val="0"/>
        <w:jc w:val="both"/>
        <w:rPr>
          <w:rFonts w:ascii="Arial" w:eastAsia="Arial" w:hAnsi="Arial" w:cs="Arial"/>
          <w:sz w:val="22"/>
          <w:szCs w:val="22"/>
        </w:rPr>
      </w:pPr>
    </w:p>
    <w:p w14:paraId="7E5B239C" w14:textId="77777777" w:rsidR="002A3ACA" w:rsidRDefault="00471A97">
      <w:pPr>
        <w:ind w:right="-92"/>
        <w:jc w:val="both"/>
        <w:rPr>
          <w:rFonts w:ascii="Arial" w:eastAsia="Arial" w:hAnsi="Arial" w:cs="Arial"/>
          <w:sz w:val="22"/>
          <w:szCs w:val="22"/>
        </w:rPr>
      </w:pPr>
      <w:r>
        <w:rPr>
          <w:rFonts w:ascii="Arial" w:eastAsia="Arial" w:hAnsi="Arial" w:cs="Arial"/>
          <w:sz w:val="22"/>
          <w:szCs w:val="22"/>
        </w:rPr>
        <w:t xml:space="preserve">Hechos que se encuentra plasmados en el Informe de Verificación de Hechos No. 25-237 del 25 de junio de 2025, que evidenció los siguientes: </w:t>
      </w:r>
    </w:p>
    <w:p w14:paraId="09721448" w14:textId="77777777" w:rsidR="002A3ACA" w:rsidRDefault="002A3ACA">
      <w:pPr>
        <w:ind w:right="-92"/>
        <w:jc w:val="both"/>
        <w:rPr>
          <w:rFonts w:ascii="Arial" w:eastAsia="Arial" w:hAnsi="Arial" w:cs="Arial"/>
          <w:sz w:val="22"/>
          <w:szCs w:val="22"/>
        </w:rPr>
      </w:pPr>
    </w:p>
    <w:p w14:paraId="7880C454" w14:textId="77777777" w:rsidR="002A3ACA" w:rsidRDefault="00471A97">
      <w:pPr>
        <w:spacing w:line="276" w:lineRule="auto"/>
        <w:jc w:val="center"/>
        <w:rPr>
          <w:rFonts w:ascii="Arial" w:eastAsia="Arial" w:hAnsi="Arial" w:cs="Arial"/>
          <w:b/>
          <w:bCs/>
          <w:i/>
          <w:iCs/>
          <w:sz w:val="22"/>
          <w:szCs w:val="22"/>
        </w:rPr>
      </w:pPr>
      <w:r>
        <w:rPr>
          <w:rFonts w:ascii="Arial" w:eastAsia="Arial" w:hAnsi="Arial" w:cs="Arial"/>
          <w:b/>
          <w:bCs/>
          <w:i/>
          <w:iCs/>
          <w:sz w:val="22"/>
          <w:szCs w:val="22"/>
        </w:rPr>
        <w:t>“Hallazgos</w:t>
      </w:r>
    </w:p>
    <w:p w14:paraId="7EF8B0DD" w14:textId="77777777" w:rsidR="002A3ACA" w:rsidRDefault="002A3ACA">
      <w:pPr>
        <w:spacing w:line="276" w:lineRule="auto"/>
        <w:jc w:val="both"/>
        <w:rPr>
          <w:rFonts w:ascii="Arial" w:eastAsia="Arial" w:hAnsi="Arial" w:cs="Arial"/>
          <w:sz w:val="22"/>
          <w:szCs w:val="22"/>
        </w:rPr>
      </w:pPr>
    </w:p>
    <w:p w14:paraId="25A61349" w14:textId="77777777" w:rsidR="002A3ACA" w:rsidRDefault="00471A97">
      <w:pPr>
        <w:spacing w:line="276" w:lineRule="auto"/>
        <w:ind w:left="720"/>
        <w:jc w:val="both"/>
        <w:rPr>
          <w:rFonts w:ascii="Arial" w:eastAsia="Arial" w:hAnsi="Arial" w:cs="Arial"/>
          <w:i/>
          <w:iCs/>
          <w:sz w:val="22"/>
          <w:szCs w:val="22"/>
          <w:u w:val="single"/>
        </w:rPr>
      </w:pPr>
      <w:r>
        <w:rPr>
          <w:rFonts w:ascii="Arial" w:eastAsia="Arial" w:hAnsi="Arial" w:cs="Arial"/>
          <w:i/>
          <w:iCs/>
          <w:sz w:val="22"/>
          <w:szCs w:val="22"/>
          <w:u w:val="single"/>
        </w:rPr>
        <w:t>A las visitas de técnicas de verificación de hechos NO asistió el quejoso.</w:t>
      </w:r>
    </w:p>
    <w:p w14:paraId="6F3E9AE1" w14:textId="77777777" w:rsidR="002A3ACA" w:rsidRDefault="002A3ACA">
      <w:pPr>
        <w:spacing w:line="276" w:lineRule="auto"/>
        <w:ind w:left="720"/>
        <w:jc w:val="both"/>
        <w:rPr>
          <w:rFonts w:ascii="Arial" w:eastAsia="Arial" w:hAnsi="Arial" w:cs="Arial"/>
          <w:i/>
          <w:iCs/>
          <w:sz w:val="22"/>
          <w:szCs w:val="22"/>
        </w:rPr>
      </w:pPr>
    </w:p>
    <w:p w14:paraId="4FC88EE4" w14:textId="77777777" w:rsidR="002A3ACA" w:rsidRDefault="00471A97">
      <w:pPr>
        <w:spacing w:line="276" w:lineRule="auto"/>
        <w:ind w:left="720"/>
        <w:jc w:val="both"/>
        <w:rPr>
          <w:rFonts w:ascii="Arial" w:eastAsia="Arial" w:hAnsi="Arial" w:cs="Arial"/>
          <w:i/>
          <w:iCs/>
          <w:sz w:val="22"/>
          <w:szCs w:val="22"/>
        </w:rPr>
      </w:pPr>
      <w:r>
        <w:rPr>
          <w:rFonts w:ascii="Arial" w:eastAsia="Arial" w:hAnsi="Arial" w:cs="Arial"/>
          <w:i/>
          <w:iCs/>
          <w:sz w:val="22"/>
          <w:szCs w:val="22"/>
        </w:rPr>
        <w:t>De conformidad con lo establecido en el Decreto 572 del 22 de diciembre de 2015, se programó visita de verificación de hechos para el día 08 de abril de 2025 a las 11:25 a.m., la cual fue comunicada mediante oficio No. 2-2025-14066 del 26 de marzo de 2025. Dicho oficio fue recibido por el señor Andrés Taborda el día 27 de marzo de 2025 en el edificio del quejoso, lo cual consta en la guía de correspondencia obrante en el expediente. El día señalado, la diligencia no se pudo realizar por inasistencia del que</w:t>
      </w:r>
      <w:r>
        <w:rPr>
          <w:rFonts w:ascii="Arial" w:eastAsia="Arial" w:hAnsi="Arial" w:cs="Arial"/>
          <w:i/>
          <w:iCs/>
          <w:sz w:val="22"/>
          <w:szCs w:val="22"/>
        </w:rPr>
        <w:t>joso.</w:t>
      </w:r>
    </w:p>
    <w:p w14:paraId="5C1EA30F" w14:textId="77777777" w:rsidR="002A3ACA" w:rsidRDefault="002A3ACA">
      <w:pPr>
        <w:spacing w:line="276" w:lineRule="auto"/>
        <w:ind w:left="720"/>
        <w:jc w:val="both"/>
        <w:rPr>
          <w:rFonts w:ascii="Arial" w:eastAsia="Arial" w:hAnsi="Arial" w:cs="Arial"/>
          <w:i/>
          <w:iCs/>
          <w:sz w:val="22"/>
          <w:szCs w:val="22"/>
        </w:rPr>
      </w:pPr>
    </w:p>
    <w:p w14:paraId="1E625550" w14:textId="77777777" w:rsidR="002A3ACA" w:rsidRDefault="00471A97">
      <w:pPr>
        <w:spacing w:line="276" w:lineRule="auto"/>
        <w:ind w:left="720"/>
        <w:jc w:val="both"/>
        <w:rPr>
          <w:rFonts w:ascii="Arial" w:eastAsia="Arial" w:hAnsi="Arial" w:cs="Arial"/>
          <w:i/>
          <w:iCs/>
          <w:sz w:val="22"/>
          <w:szCs w:val="22"/>
        </w:rPr>
      </w:pPr>
      <w:r>
        <w:rPr>
          <w:rFonts w:ascii="Arial" w:eastAsia="Arial" w:hAnsi="Arial" w:cs="Arial"/>
          <w:i/>
          <w:iCs/>
          <w:sz w:val="22"/>
          <w:szCs w:val="22"/>
        </w:rPr>
        <w:t>Mediante radicado No. 2-2025-19457 del 22 de abril de 2025, se le solicitó al quejoso manifestar las razones de su inasistencia, otorgándole un plazo de diez (10) días hábiles para responder. A la fecha del presente informe, NO se ha recibido comunicación alguna al respecto.</w:t>
      </w:r>
    </w:p>
    <w:p w14:paraId="3D6F8FE4" w14:textId="77777777" w:rsidR="002A3ACA" w:rsidRDefault="002A3ACA">
      <w:pPr>
        <w:spacing w:line="276" w:lineRule="auto"/>
        <w:ind w:left="720"/>
        <w:jc w:val="both"/>
        <w:rPr>
          <w:rFonts w:ascii="Arial" w:eastAsia="Arial" w:hAnsi="Arial" w:cs="Arial"/>
          <w:i/>
          <w:iCs/>
          <w:sz w:val="22"/>
          <w:szCs w:val="22"/>
        </w:rPr>
      </w:pPr>
    </w:p>
    <w:p w14:paraId="7BEFEFA6" w14:textId="77777777" w:rsidR="002A3ACA" w:rsidRDefault="00471A97">
      <w:pPr>
        <w:spacing w:line="276" w:lineRule="auto"/>
        <w:ind w:left="720"/>
        <w:jc w:val="both"/>
        <w:rPr>
          <w:rFonts w:ascii="Arial" w:eastAsia="Arial" w:hAnsi="Arial" w:cs="Arial"/>
          <w:i/>
          <w:iCs/>
          <w:sz w:val="22"/>
          <w:szCs w:val="22"/>
        </w:rPr>
      </w:pPr>
      <w:r>
        <w:rPr>
          <w:rFonts w:ascii="Arial" w:eastAsia="Arial" w:hAnsi="Arial" w:cs="Arial"/>
          <w:i/>
          <w:iCs/>
          <w:sz w:val="22"/>
          <w:szCs w:val="22"/>
        </w:rPr>
        <w:t>Sin embargo, atendiendo recomendaciones del área jurídica y con el propósito de avanzar en el cierre integral del expediente —en la medida en que subsiste un único aspecto por verificar—, se procedió a reprogramar la diligencia.</w:t>
      </w:r>
    </w:p>
    <w:p w14:paraId="3EC99AA2" w14:textId="77777777" w:rsidR="002A3ACA" w:rsidRDefault="002A3ACA">
      <w:pPr>
        <w:spacing w:line="276" w:lineRule="auto"/>
        <w:ind w:left="720"/>
        <w:jc w:val="both"/>
        <w:rPr>
          <w:rFonts w:ascii="Arial" w:eastAsia="Arial" w:hAnsi="Arial" w:cs="Arial"/>
          <w:i/>
          <w:iCs/>
          <w:sz w:val="22"/>
          <w:szCs w:val="22"/>
        </w:rPr>
      </w:pPr>
    </w:p>
    <w:p w14:paraId="573DFEE9" w14:textId="77777777" w:rsidR="002A3ACA" w:rsidRDefault="00471A97">
      <w:pPr>
        <w:spacing w:line="276" w:lineRule="auto"/>
        <w:ind w:left="720"/>
        <w:jc w:val="both"/>
        <w:rPr>
          <w:rFonts w:ascii="Arial" w:eastAsia="Arial" w:hAnsi="Arial" w:cs="Arial"/>
          <w:i/>
          <w:iCs/>
          <w:sz w:val="22"/>
          <w:szCs w:val="22"/>
        </w:rPr>
      </w:pPr>
      <w:r>
        <w:rPr>
          <w:rFonts w:ascii="Arial" w:eastAsia="Arial" w:hAnsi="Arial" w:cs="Arial"/>
          <w:i/>
          <w:iCs/>
          <w:sz w:val="22"/>
          <w:szCs w:val="22"/>
        </w:rPr>
        <w:t xml:space="preserve">La nueva visita fue agendada para el día 13 de junio de 2025 a las 8:10 a.m., y se comunicó mediante oficio No. 2-2025-27357 del 27 de mayo de 2025, el cual fue enviado al correo electrónico </w:t>
      </w:r>
      <w:hyperlink r:id="rId8">
        <w:r w:rsidR="002A3ACA">
          <w:rPr>
            <w:rFonts w:ascii="Arial" w:eastAsia="Arial" w:hAnsi="Arial" w:cs="Arial"/>
            <w:i/>
            <w:iCs/>
            <w:color w:val="1155CC"/>
            <w:sz w:val="22"/>
            <w:szCs w:val="22"/>
            <w:u w:val="single"/>
          </w:rPr>
          <w:t>jearavito@yahoo.com</w:t>
        </w:r>
      </w:hyperlink>
      <w:r>
        <w:rPr>
          <w:rFonts w:ascii="Arial" w:eastAsia="Arial" w:hAnsi="Arial" w:cs="Arial"/>
          <w:i/>
          <w:iCs/>
          <w:sz w:val="22"/>
          <w:szCs w:val="22"/>
        </w:rPr>
        <w:t xml:space="preserve">  según constancia electrónica, el mensaje fue abierto el 29 de mayo de 2025 a las 17:31 horas.</w:t>
      </w:r>
    </w:p>
    <w:p w14:paraId="0069041E" w14:textId="77777777" w:rsidR="002A3ACA" w:rsidRDefault="002A3ACA">
      <w:pPr>
        <w:spacing w:line="276" w:lineRule="auto"/>
        <w:ind w:left="720"/>
        <w:jc w:val="both"/>
        <w:rPr>
          <w:rFonts w:ascii="Arial" w:eastAsia="Arial" w:hAnsi="Arial" w:cs="Arial"/>
          <w:i/>
          <w:iCs/>
          <w:sz w:val="22"/>
          <w:szCs w:val="22"/>
        </w:rPr>
      </w:pPr>
    </w:p>
    <w:p w14:paraId="57CFB3B6" w14:textId="77777777" w:rsidR="002A3ACA" w:rsidRDefault="00471A97">
      <w:pPr>
        <w:spacing w:line="276" w:lineRule="auto"/>
        <w:ind w:left="720"/>
        <w:jc w:val="both"/>
        <w:rPr>
          <w:rFonts w:ascii="Arial" w:eastAsia="Arial" w:hAnsi="Arial" w:cs="Arial"/>
          <w:i/>
          <w:iCs/>
          <w:sz w:val="22"/>
          <w:szCs w:val="22"/>
        </w:rPr>
      </w:pPr>
      <w:r>
        <w:rPr>
          <w:rFonts w:ascii="Arial" w:eastAsia="Arial" w:hAnsi="Arial" w:cs="Arial"/>
          <w:i/>
          <w:iCs/>
          <w:sz w:val="22"/>
          <w:szCs w:val="22"/>
        </w:rPr>
        <w:t>El día señalado, el equipo técnico se presentó en el lugar conforme a lo programado. En el transcurso de la diligencia se logró establecer comunicación telefónica con el quejoso, quien expresó que no había recibido la citación y que no contaba con disponibilidad para atender la visita, motivo por el cual no fue posible llevar a cabo la diligencia.</w:t>
      </w:r>
    </w:p>
    <w:p w14:paraId="562E2B87" w14:textId="77777777" w:rsidR="002A3ACA" w:rsidRDefault="002A3ACA">
      <w:pPr>
        <w:spacing w:line="276" w:lineRule="auto"/>
        <w:ind w:left="720"/>
        <w:jc w:val="both"/>
        <w:rPr>
          <w:rFonts w:ascii="Arial" w:eastAsia="Arial" w:hAnsi="Arial" w:cs="Arial"/>
          <w:i/>
          <w:iCs/>
          <w:sz w:val="22"/>
          <w:szCs w:val="22"/>
        </w:rPr>
      </w:pPr>
    </w:p>
    <w:p w14:paraId="4448BD2C" w14:textId="77777777" w:rsidR="002A3ACA" w:rsidRDefault="00471A97">
      <w:pPr>
        <w:spacing w:line="276" w:lineRule="auto"/>
        <w:ind w:left="720"/>
        <w:jc w:val="both"/>
        <w:rPr>
          <w:rFonts w:ascii="Arial" w:eastAsia="Arial" w:hAnsi="Arial" w:cs="Arial"/>
          <w:i/>
          <w:iCs/>
          <w:color w:val="FF9900"/>
          <w:sz w:val="22"/>
          <w:szCs w:val="22"/>
        </w:rPr>
      </w:pPr>
      <w:r>
        <w:rPr>
          <w:rFonts w:ascii="Arial" w:eastAsia="Arial" w:hAnsi="Arial" w:cs="Arial"/>
          <w:i/>
          <w:iCs/>
          <w:sz w:val="22"/>
          <w:szCs w:val="22"/>
        </w:rPr>
        <w:t>Dado que han transcurrido más de 10 días desde la entrega del requerimiento y no se ha recibido respuesta, se entiende cumplida la orden.”</w:t>
      </w:r>
    </w:p>
    <w:p w14:paraId="358E26BD" w14:textId="77777777" w:rsidR="002A3ACA" w:rsidRDefault="002A3ACA">
      <w:pPr>
        <w:widowControl w:val="0"/>
        <w:jc w:val="both"/>
        <w:rPr>
          <w:rFonts w:ascii="Arial" w:eastAsia="Arial" w:hAnsi="Arial" w:cs="Arial"/>
          <w:i/>
          <w:iCs/>
          <w:color w:val="FF9900"/>
          <w:sz w:val="22"/>
          <w:szCs w:val="22"/>
        </w:rPr>
      </w:pPr>
    </w:p>
    <w:p w14:paraId="733769F5" w14:textId="22094B5A" w:rsidR="002A3ACA" w:rsidRDefault="00471A97">
      <w:pPr>
        <w:widowControl w:val="0"/>
        <w:jc w:val="both"/>
        <w:rPr>
          <w:rFonts w:ascii="Arial" w:eastAsia="Arial" w:hAnsi="Arial" w:cs="Arial"/>
          <w:sz w:val="22"/>
          <w:szCs w:val="22"/>
        </w:rPr>
      </w:pPr>
      <w:r>
        <w:rPr>
          <w:rFonts w:ascii="Arial" w:eastAsia="Arial" w:hAnsi="Arial" w:cs="Arial"/>
          <w:sz w:val="22"/>
          <w:szCs w:val="22"/>
        </w:rPr>
        <w:t xml:space="preserve">Nótese que frente a numerosos requerimientos como lo son dos visitas de carácter técnico; la primera debidamente notificada mediante radicados 2-2025-14065 y 2-2025-14066 del 26 de marzo de 2025 a la cual </w:t>
      </w:r>
      <w:r>
        <w:rPr>
          <w:rFonts w:ascii="Arial" w:eastAsia="Arial" w:hAnsi="Arial" w:cs="Arial"/>
          <w:b/>
          <w:bCs/>
          <w:sz w:val="22"/>
          <w:szCs w:val="22"/>
          <w:u w:val="single"/>
        </w:rPr>
        <w:t>NO</w:t>
      </w:r>
      <w:r>
        <w:rPr>
          <w:rFonts w:ascii="Arial" w:eastAsia="Arial" w:hAnsi="Arial" w:cs="Arial"/>
          <w:sz w:val="22"/>
          <w:szCs w:val="22"/>
        </w:rPr>
        <w:t xml:space="preserve"> asistió ninguna de las partes. En la segunda, reprogramada por la inasistencia y silencio de las partes en la primera, mediante radicados </w:t>
      </w:r>
      <w:r>
        <w:rPr>
          <w:rFonts w:ascii="Arial" w:eastAsia="Arial" w:hAnsi="Arial" w:cs="Arial"/>
          <w:sz w:val="22"/>
          <w:szCs w:val="22"/>
        </w:rPr>
        <w:lastRenderedPageBreak/>
        <w:t xml:space="preserve">2-2025-27356 y 2-2025-27357 del 27 de mayo de 2025 </w:t>
      </w:r>
      <w:r>
        <w:rPr>
          <w:rFonts w:ascii="Arial" w:eastAsia="Arial" w:hAnsi="Arial" w:cs="Arial"/>
          <w:b/>
          <w:bCs/>
          <w:sz w:val="22"/>
          <w:szCs w:val="22"/>
          <w:u w:val="single"/>
        </w:rPr>
        <w:t>TAMPOCO</w:t>
      </w:r>
      <w:r>
        <w:rPr>
          <w:rFonts w:ascii="Arial" w:eastAsia="Arial" w:hAnsi="Arial" w:cs="Arial"/>
          <w:sz w:val="22"/>
          <w:szCs w:val="22"/>
        </w:rPr>
        <w:t xml:space="preserve"> se presentó ninguna de las partes. Estas inasistencias nunca fueron justificadas</w:t>
      </w:r>
      <w:r w:rsidR="00BE3047">
        <w:rPr>
          <w:rFonts w:ascii="Arial" w:eastAsia="Arial" w:hAnsi="Arial" w:cs="Arial"/>
          <w:sz w:val="22"/>
          <w:szCs w:val="22"/>
        </w:rPr>
        <w:t>,</w:t>
      </w:r>
      <w:r>
        <w:rPr>
          <w:rFonts w:ascii="Arial" w:eastAsia="Arial" w:hAnsi="Arial" w:cs="Arial"/>
          <w:sz w:val="22"/>
          <w:szCs w:val="22"/>
        </w:rPr>
        <w:t xml:space="preserve"> ni el Despacho recibió comunicación u impulso alguno del proceso pese a que la administración y el personal de vigilancia del EDIFICIO GHARA se enteraron de las dos visitas, pues estos manifestaron que no serían atendidas tal como l</w:t>
      </w:r>
      <w:r>
        <w:rPr>
          <w:rFonts w:ascii="Arial" w:eastAsia="Arial" w:hAnsi="Arial" w:cs="Arial"/>
          <w:sz w:val="22"/>
          <w:szCs w:val="22"/>
        </w:rPr>
        <w:t>o contiene el acta de visita base del Informe de Verificación de Hechos No. 25-237 del 25 de junio de 2025.</w:t>
      </w:r>
    </w:p>
    <w:p w14:paraId="2FE8DDB5" w14:textId="77777777" w:rsidR="002A3ACA" w:rsidRDefault="002A3ACA">
      <w:pPr>
        <w:widowControl w:val="0"/>
        <w:jc w:val="both"/>
        <w:rPr>
          <w:rFonts w:ascii="Arial" w:eastAsia="Arial" w:hAnsi="Arial" w:cs="Arial"/>
          <w:sz w:val="22"/>
          <w:szCs w:val="22"/>
        </w:rPr>
      </w:pPr>
    </w:p>
    <w:p w14:paraId="138E2C6B" w14:textId="4DD90212" w:rsidR="002A3ACA" w:rsidRDefault="00471A97">
      <w:pPr>
        <w:widowControl w:val="0"/>
        <w:jc w:val="both"/>
        <w:rPr>
          <w:rFonts w:ascii="Arial" w:eastAsia="Arial" w:hAnsi="Arial" w:cs="Arial"/>
          <w:sz w:val="22"/>
          <w:szCs w:val="22"/>
        </w:rPr>
      </w:pPr>
      <w:r>
        <w:rPr>
          <w:rFonts w:ascii="Arial" w:eastAsia="Arial" w:hAnsi="Arial" w:cs="Arial"/>
          <w:sz w:val="22"/>
          <w:szCs w:val="22"/>
        </w:rPr>
        <w:t xml:space="preserve">Sin perjuicio de la constante inactividad del quejoso, este despacho nuevamente lo requiere mediante radicado 2-2025-70798 del 28 de octubre de 2025 para que acredite el cumplimiento de los hechos ordenados, dándole otra oportunidad para pronunciarse frente al proceso. Requerimiento </w:t>
      </w:r>
      <w:r w:rsidR="00BE3047">
        <w:rPr>
          <w:rFonts w:ascii="Arial" w:eastAsia="Arial" w:hAnsi="Arial" w:cs="Arial"/>
          <w:sz w:val="22"/>
          <w:szCs w:val="22"/>
        </w:rPr>
        <w:t>que,</w:t>
      </w:r>
      <w:r>
        <w:rPr>
          <w:rFonts w:ascii="Arial" w:eastAsia="Arial" w:hAnsi="Arial" w:cs="Arial"/>
          <w:sz w:val="22"/>
          <w:szCs w:val="22"/>
        </w:rPr>
        <w:t xml:space="preserve"> por tercera oportunidad, no fue respondido. </w:t>
      </w:r>
    </w:p>
    <w:p w14:paraId="504AB92C" w14:textId="77777777" w:rsidR="002A3ACA" w:rsidRDefault="002A3ACA">
      <w:pPr>
        <w:widowControl w:val="0"/>
        <w:jc w:val="both"/>
        <w:rPr>
          <w:rFonts w:ascii="Arial" w:eastAsia="Arial" w:hAnsi="Arial" w:cs="Arial"/>
          <w:sz w:val="22"/>
          <w:szCs w:val="22"/>
        </w:rPr>
      </w:pPr>
    </w:p>
    <w:p w14:paraId="5DAE9E94" w14:textId="77777777" w:rsidR="002A3ACA" w:rsidRDefault="00471A97">
      <w:pPr>
        <w:widowControl w:val="0"/>
        <w:jc w:val="both"/>
        <w:rPr>
          <w:rFonts w:ascii="Arial" w:eastAsia="Arial" w:hAnsi="Arial" w:cs="Arial"/>
          <w:sz w:val="22"/>
          <w:szCs w:val="22"/>
        </w:rPr>
      </w:pPr>
      <w:r>
        <w:rPr>
          <w:rFonts w:ascii="Arial" w:eastAsia="Arial" w:hAnsi="Arial" w:cs="Arial"/>
          <w:sz w:val="22"/>
          <w:szCs w:val="22"/>
        </w:rPr>
        <w:t>Es claro que la parte quejosa ha guardado total silencio, por lo que cabe recordar que, conforme al artículo 3º del Código de Procedimiento Administrativo y de lo Contencioso Administrativo y al artículo 167 del Código General del Proceso, la carga de la prueba en sede administrativa se distribuye dinámicamente entre las partes, en virtud del deber de colaboración y de buena fe, por lo que el ciudadano no puede permanecer pasivo frente a las solicitudes de la autoridad, especialmente cuando estas buscan gar</w:t>
      </w:r>
      <w:r>
        <w:rPr>
          <w:rFonts w:ascii="Arial" w:eastAsia="Arial" w:hAnsi="Arial" w:cs="Arial"/>
          <w:sz w:val="22"/>
          <w:szCs w:val="22"/>
        </w:rPr>
        <w:t>antizar sus propios derechos.</w:t>
      </w:r>
    </w:p>
    <w:p w14:paraId="0F068C8E" w14:textId="77777777" w:rsidR="002A3ACA" w:rsidRDefault="002A3ACA">
      <w:pPr>
        <w:widowControl w:val="0"/>
        <w:jc w:val="both"/>
        <w:rPr>
          <w:rFonts w:ascii="Arial" w:eastAsia="Arial" w:hAnsi="Arial" w:cs="Arial"/>
          <w:sz w:val="22"/>
          <w:szCs w:val="22"/>
        </w:rPr>
      </w:pPr>
    </w:p>
    <w:p w14:paraId="094ACF93" w14:textId="77777777" w:rsidR="002A3ACA" w:rsidRDefault="00471A97">
      <w:pPr>
        <w:widowControl w:val="0"/>
        <w:jc w:val="both"/>
        <w:rPr>
          <w:rFonts w:ascii="Arial" w:eastAsia="Arial" w:hAnsi="Arial" w:cs="Arial"/>
          <w:sz w:val="22"/>
          <w:szCs w:val="22"/>
        </w:rPr>
      </w:pPr>
      <w:r>
        <w:rPr>
          <w:rFonts w:ascii="Arial" w:eastAsia="Arial" w:hAnsi="Arial" w:cs="Arial"/>
          <w:sz w:val="22"/>
          <w:szCs w:val="22"/>
        </w:rPr>
        <w:t>Por lo mencionado, este Despacho encuentra que, si bien es cierto, la obligación de la sociedad enajenadora es la de subsanar los hechos materia de orden de hacer, dicha obligación queda relevada cuando la deficiencia constructiva, es imposible de verificar por la omisión del quejoso, en asistir y pronunciase, frente a los requerimientos de este Despacho. En efecto, de conformidad con el artículo 209 de la Constitución Política, la función administrativa debe desarrollarse bajo los principios de eficacia, e</w:t>
      </w:r>
      <w:r>
        <w:rPr>
          <w:rFonts w:ascii="Arial" w:eastAsia="Arial" w:hAnsi="Arial" w:cs="Arial"/>
          <w:sz w:val="22"/>
          <w:szCs w:val="22"/>
        </w:rPr>
        <w:t>conomía y celeridad, razón por la cual no resulta procedente mantener abierta una actuación que, por la falta de colaboración del interesado, deviene materialmente imposible de continuar. Pretender la verificación de hechos sin su participación equivaldría a desconocer tales principios y prolongar indebidamente un trámite sin objeto verificable.</w:t>
      </w:r>
    </w:p>
    <w:p w14:paraId="1609DF6B" w14:textId="77777777" w:rsidR="002A3ACA" w:rsidRDefault="002A3ACA">
      <w:pPr>
        <w:widowControl w:val="0"/>
        <w:jc w:val="both"/>
        <w:rPr>
          <w:rFonts w:ascii="Arial" w:eastAsia="Arial" w:hAnsi="Arial" w:cs="Arial"/>
          <w:sz w:val="22"/>
          <w:szCs w:val="22"/>
        </w:rPr>
      </w:pPr>
    </w:p>
    <w:p w14:paraId="13CCDB5F" w14:textId="77777777" w:rsidR="002A3ACA" w:rsidRDefault="00471A97">
      <w:pPr>
        <w:widowControl w:val="0"/>
        <w:jc w:val="both"/>
        <w:rPr>
          <w:rFonts w:ascii="Arial" w:eastAsia="Arial" w:hAnsi="Arial" w:cs="Arial"/>
          <w:sz w:val="22"/>
          <w:szCs w:val="22"/>
        </w:rPr>
      </w:pPr>
      <w:r>
        <w:rPr>
          <w:rFonts w:ascii="Arial" w:eastAsia="Arial" w:hAnsi="Arial" w:cs="Arial"/>
          <w:sz w:val="22"/>
          <w:szCs w:val="22"/>
        </w:rPr>
        <w:t>En ese orden de ideas, es pertinente hacer referencia al deber de colaboración de los Ciudadanos para el cumplimiento de las órdenes administrativas, al respecto, nuestro ordenamiento jurídico establece: -Numeral 7 del Artículo 95 de la constitución política de Colombia: “Colaborar para el buen funcionamiento de la administración de la justicia”. -Consejo de Estado, Sección tercera, Subsección C, Radicación número: 08001-23-31-000- 1997-13135- 01(32207): “Observa la Sala que según el artículo 95.7 de la Con</w:t>
      </w:r>
      <w:r>
        <w:rPr>
          <w:rFonts w:ascii="Arial" w:eastAsia="Arial" w:hAnsi="Arial" w:cs="Arial"/>
          <w:sz w:val="22"/>
          <w:szCs w:val="22"/>
        </w:rPr>
        <w:t xml:space="preserve">stitución Política es un deber de la persona y del ciudadano colaborar para el buen funcionamiento de la administración de la justicia”. </w:t>
      </w:r>
    </w:p>
    <w:p w14:paraId="35089AA3" w14:textId="77777777" w:rsidR="002A3ACA" w:rsidRDefault="002A3ACA">
      <w:pPr>
        <w:widowControl w:val="0"/>
        <w:jc w:val="both"/>
        <w:rPr>
          <w:rFonts w:ascii="Arial" w:eastAsia="Arial" w:hAnsi="Arial" w:cs="Arial"/>
          <w:sz w:val="22"/>
          <w:szCs w:val="22"/>
        </w:rPr>
      </w:pPr>
    </w:p>
    <w:p w14:paraId="262131DD" w14:textId="77777777" w:rsidR="002A3ACA" w:rsidRDefault="00471A97">
      <w:pPr>
        <w:widowControl w:val="0"/>
        <w:jc w:val="both"/>
        <w:rPr>
          <w:rFonts w:ascii="Arial" w:eastAsia="Arial" w:hAnsi="Arial" w:cs="Arial"/>
          <w:sz w:val="22"/>
          <w:szCs w:val="22"/>
        </w:rPr>
      </w:pPr>
      <w:r>
        <w:rPr>
          <w:rFonts w:ascii="Arial" w:eastAsia="Arial" w:hAnsi="Arial" w:cs="Arial"/>
          <w:sz w:val="22"/>
          <w:szCs w:val="22"/>
        </w:rPr>
        <w:t xml:space="preserve">Por otro lado, cabe mencionar que es claro para esta entidad, que es una obligación de la constructora corregir las deficiencias de las construcciones de las viviendas enajenadas y cumplir con las condiciones de calidad, adoptando las condiciones técnicas señaladas en la normatividad, estas obras o reparaciones deben ser autorizadas por el quejoso y/o quien se vea afectado. No obstante, de conformidad con lo expuesto en líneas anteriores, este </w:t>
      </w:r>
      <w:r>
        <w:rPr>
          <w:rFonts w:ascii="Arial" w:eastAsia="Arial" w:hAnsi="Arial" w:cs="Arial"/>
          <w:sz w:val="22"/>
          <w:szCs w:val="22"/>
        </w:rPr>
        <w:lastRenderedPageBreak/>
        <w:t>Despacho considera que nos encontramos frente a un caso de imposibilidad para dar cumplimiento a lo ordenado.</w:t>
      </w:r>
    </w:p>
    <w:p w14:paraId="6282AC2C" w14:textId="77777777" w:rsidR="002A3ACA" w:rsidRDefault="002A3ACA">
      <w:pPr>
        <w:widowControl w:val="0"/>
        <w:jc w:val="both"/>
        <w:rPr>
          <w:rFonts w:ascii="Arial" w:eastAsia="Arial" w:hAnsi="Arial" w:cs="Arial"/>
          <w:sz w:val="22"/>
          <w:szCs w:val="22"/>
        </w:rPr>
      </w:pPr>
    </w:p>
    <w:p w14:paraId="4A13F95D" w14:textId="77777777" w:rsidR="002A3ACA" w:rsidRDefault="00471A97">
      <w:pPr>
        <w:widowControl w:val="0"/>
        <w:jc w:val="both"/>
        <w:rPr>
          <w:rFonts w:ascii="Arial" w:eastAsia="Arial" w:hAnsi="Arial" w:cs="Arial"/>
          <w:sz w:val="22"/>
          <w:szCs w:val="22"/>
        </w:rPr>
      </w:pPr>
      <w:r>
        <w:rPr>
          <w:rFonts w:ascii="Arial" w:eastAsia="Arial" w:hAnsi="Arial" w:cs="Arial"/>
          <w:sz w:val="22"/>
          <w:szCs w:val="22"/>
        </w:rPr>
        <w:t>Así las cosas, este Despacho, ante la renuencia del quejoso, no está obligado a continuar con la verificación de la orden de hacer ante la imposibilidad material para la Administración para dar cumplimiento a sus funciones, y en este caso puntual, lograr hacer el seguimiento a la orden mediante los mecanismos probatorios con que cuenta este Despacho, los cuales no han sido atendidos por el quejoso, y puesto que los hechos objeto de queja corresponden a zonas privadas de apartamento 303, la no atención por p</w:t>
      </w:r>
      <w:r>
        <w:rPr>
          <w:rFonts w:ascii="Arial" w:eastAsia="Arial" w:hAnsi="Arial" w:cs="Arial"/>
          <w:sz w:val="22"/>
          <w:szCs w:val="22"/>
        </w:rPr>
        <w:t>arte de ésta a las solicitudes realizadas por este Despacho, imposibilita la subsanación de los hechos objeto de orden por parte de la enajenadora, contenida en la Resolución No. 825 del 01 de agosto de 2018, "</w:t>
      </w:r>
      <w:r>
        <w:rPr>
          <w:rFonts w:ascii="Arial" w:eastAsia="Arial" w:hAnsi="Arial" w:cs="Arial"/>
          <w:i/>
          <w:iCs/>
          <w:sz w:val="22"/>
          <w:szCs w:val="22"/>
        </w:rPr>
        <w:t>Por la cual se impone una sanción y se imparte una orden</w:t>
      </w:r>
      <w:r>
        <w:rPr>
          <w:rFonts w:ascii="Arial" w:eastAsia="Arial" w:hAnsi="Arial" w:cs="Arial"/>
          <w:sz w:val="22"/>
          <w:szCs w:val="22"/>
        </w:rPr>
        <w:t xml:space="preserve">". </w:t>
      </w:r>
    </w:p>
    <w:p w14:paraId="7B523568" w14:textId="77777777" w:rsidR="002A3ACA" w:rsidRDefault="002A3ACA">
      <w:pPr>
        <w:widowControl w:val="0"/>
        <w:jc w:val="both"/>
        <w:rPr>
          <w:rFonts w:ascii="Arial" w:eastAsia="Arial" w:hAnsi="Arial" w:cs="Arial"/>
          <w:sz w:val="22"/>
          <w:szCs w:val="22"/>
        </w:rPr>
      </w:pPr>
    </w:p>
    <w:p w14:paraId="1BD7C1B5" w14:textId="77777777" w:rsidR="002A3ACA" w:rsidRDefault="00471A97">
      <w:pPr>
        <w:widowControl w:val="0"/>
        <w:jc w:val="both"/>
        <w:rPr>
          <w:rFonts w:ascii="Arial" w:eastAsia="Arial" w:hAnsi="Arial" w:cs="Arial"/>
          <w:sz w:val="22"/>
          <w:szCs w:val="22"/>
        </w:rPr>
      </w:pPr>
      <w:r>
        <w:rPr>
          <w:rFonts w:ascii="Arial" w:eastAsia="Arial" w:hAnsi="Arial" w:cs="Arial"/>
          <w:sz w:val="22"/>
          <w:szCs w:val="22"/>
        </w:rPr>
        <w:t xml:space="preserve">Por otro lado, es preciso señalar que en cada una de las actuaciones adelantadas se le han dado todas las garantías tanto al enajenador como a la parte querellante en el transcurso de la investigación, respetando el debido proceso (Art. 29 de la C.N.), el cual debe ser observado en todo tipo de actuaciones administrativas; para una mayor claridad al respecto la Corte Constitucional ha expuesto en numerosas jurisprudencias el alcance del principio constitucional del debido proceso. </w:t>
      </w:r>
    </w:p>
    <w:p w14:paraId="3F2EF806" w14:textId="77777777" w:rsidR="002A3ACA" w:rsidRDefault="002A3ACA">
      <w:pPr>
        <w:widowControl w:val="0"/>
        <w:jc w:val="both"/>
        <w:rPr>
          <w:rFonts w:ascii="Arial" w:eastAsia="Arial" w:hAnsi="Arial" w:cs="Arial"/>
          <w:sz w:val="22"/>
          <w:szCs w:val="22"/>
        </w:rPr>
      </w:pPr>
    </w:p>
    <w:p w14:paraId="6B14FEBF" w14:textId="77777777" w:rsidR="002C1537" w:rsidRDefault="00471A97">
      <w:pPr>
        <w:widowControl w:val="0"/>
        <w:jc w:val="both"/>
        <w:rPr>
          <w:rFonts w:ascii="Arial" w:eastAsia="Arial" w:hAnsi="Arial" w:cs="Arial"/>
          <w:i/>
          <w:iCs/>
          <w:sz w:val="22"/>
          <w:szCs w:val="22"/>
        </w:rPr>
      </w:pPr>
      <w:r>
        <w:rPr>
          <w:rFonts w:ascii="Arial" w:eastAsia="Arial" w:hAnsi="Arial" w:cs="Arial"/>
          <w:sz w:val="22"/>
          <w:szCs w:val="22"/>
        </w:rPr>
        <w:t xml:space="preserve">En efecto, para que esta </w:t>
      </w:r>
      <w:r w:rsidR="00BE3047">
        <w:rPr>
          <w:rFonts w:ascii="Arial" w:eastAsia="Arial" w:hAnsi="Arial" w:cs="Arial"/>
          <w:sz w:val="22"/>
          <w:szCs w:val="22"/>
        </w:rPr>
        <w:t>D</w:t>
      </w:r>
      <w:r>
        <w:rPr>
          <w:rFonts w:ascii="Arial" w:eastAsia="Arial" w:hAnsi="Arial" w:cs="Arial"/>
          <w:sz w:val="22"/>
          <w:szCs w:val="22"/>
        </w:rPr>
        <w:t xml:space="preserve">irección proceda a eliminar o eximir a un vigilado del cumplimiento de una orden de hacer </w:t>
      </w:r>
      <w:proofErr w:type="gramStart"/>
      <w:r>
        <w:rPr>
          <w:rFonts w:ascii="Arial" w:eastAsia="Arial" w:hAnsi="Arial" w:cs="Arial"/>
          <w:sz w:val="22"/>
          <w:szCs w:val="22"/>
        </w:rPr>
        <w:t>en virtud a</w:t>
      </w:r>
      <w:proofErr w:type="gramEnd"/>
      <w:r>
        <w:rPr>
          <w:rFonts w:ascii="Arial" w:eastAsia="Arial" w:hAnsi="Arial" w:cs="Arial"/>
          <w:sz w:val="22"/>
          <w:szCs w:val="22"/>
        </w:rPr>
        <w:t xml:space="preserve"> la falta de colaboración por parte del quejoso aun a sabiendas de que su silencio era causal de entenderse por cumplida la orden de acuerdo tal y como se </w:t>
      </w:r>
      <w:r w:rsidR="002C1537">
        <w:rPr>
          <w:rFonts w:ascii="Arial" w:eastAsia="Arial" w:hAnsi="Arial" w:cs="Arial"/>
          <w:sz w:val="22"/>
          <w:szCs w:val="22"/>
        </w:rPr>
        <w:t xml:space="preserve">solicitó en el radicado </w:t>
      </w:r>
      <w:r w:rsidR="002C1537">
        <w:rPr>
          <w:rFonts w:ascii="Arial" w:eastAsia="Arial" w:hAnsi="Arial" w:cs="Arial"/>
          <w:i/>
          <w:iCs/>
          <w:sz w:val="22"/>
          <w:szCs w:val="22"/>
        </w:rPr>
        <w:t>2-2025-19457 del 22 de abril de 2025, se le solicitó al quejoso manifestar las razones de su inasistencia, otorgándole un plazo de diez (10) días hábiles para responder</w:t>
      </w:r>
    </w:p>
    <w:p w14:paraId="3B98A6B5" w14:textId="77777777" w:rsidR="002C1537" w:rsidRDefault="002C1537">
      <w:pPr>
        <w:widowControl w:val="0"/>
        <w:jc w:val="both"/>
        <w:rPr>
          <w:rFonts w:ascii="Arial" w:eastAsia="Arial" w:hAnsi="Arial" w:cs="Arial"/>
          <w:i/>
          <w:iCs/>
          <w:sz w:val="22"/>
          <w:szCs w:val="22"/>
        </w:rPr>
      </w:pPr>
    </w:p>
    <w:p w14:paraId="596799D7" w14:textId="77777777" w:rsidR="002A3ACA" w:rsidRDefault="00471A97">
      <w:pPr>
        <w:widowControl w:val="0"/>
        <w:jc w:val="both"/>
        <w:rPr>
          <w:rFonts w:ascii="Arial" w:eastAsia="Arial" w:hAnsi="Arial" w:cs="Arial"/>
          <w:sz w:val="22"/>
          <w:szCs w:val="22"/>
        </w:rPr>
      </w:pPr>
      <w:r>
        <w:rPr>
          <w:rFonts w:ascii="Arial" w:eastAsia="Arial" w:hAnsi="Arial" w:cs="Arial"/>
          <w:sz w:val="22"/>
          <w:szCs w:val="22"/>
        </w:rPr>
        <w:t>Debe recordarse que, conforme al artículo 3º del Código de Procedimiento Administrativo y de lo Contencioso Administrativo y al artículo 167 del Código General del Proceso, la carga de la prueba en sede administrativa se distribuye dinámicamente entre las partes, en virtud del deber de colaboración y de buena fe, por lo que el ciudadano no puede permanecer pasivo frente a las solicitudes de la autoridad, especialmente cuando estas buscan garantizar sus propios derechos.</w:t>
      </w:r>
    </w:p>
    <w:p w14:paraId="7685AA3D" w14:textId="77777777" w:rsidR="002A3ACA" w:rsidRDefault="002A3ACA">
      <w:pPr>
        <w:widowControl w:val="0"/>
        <w:jc w:val="both"/>
        <w:rPr>
          <w:rFonts w:ascii="Arial" w:eastAsia="Arial" w:hAnsi="Arial" w:cs="Arial"/>
          <w:sz w:val="22"/>
          <w:szCs w:val="22"/>
        </w:rPr>
      </w:pPr>
    </w:p>
    <w:p w14:paraId="00E0DDE6" w14:textId="77777777" w:rsidR="002A3ACA" w:rsidRDefault="00471A97">
      <w:pPr>
        <w:widowControl w:val="0"/>
        <w:jc w:val="both"/>
        <w:rPr>
          <w:rFonts w:ascii="Arial" w:eastAsia="Arial" w:hAnsi="Arial" w:cs="Arial"/>
          <w:sz w:val="22"/>
          <w:szCs w:val="22"/>
        </w:rPr>
      </w:pPr>
      <w:r>
        <w:rPr>
          <w:rFonts w:ascii="Arial" w:eastAsia="Arial" w:hAnsi="Arial" w:cs="Arial"/>
          <w:sz w:val="22"/>
          <w:szCs w:val="22"/>
        </w:rPr>
        <w:t>Visto lo anterior, en aplicación del principio de la buena fe y la valoración conjunta de las afirmaciones y soportes allegados al plenario, aplicando un razonamiento lógico, equitativo y de la experiencia como juicios de valor generales y relativos sobre la verdad, es decir bajo las reglas de la “sana crítica”, no queda otro camino que el de culminar el proceso que acá nos atañe habiéndose agotado los mecanismos de verificación y no existiendo elementos que permitan continuar con la actuación por causas at</w:t>
      </w:r>
      <w:r>
        <w:rPr>
          <w:rFonts w:ascii="Arial" w:eastAsia="Arial" w:hAnsi="Arial" w:cs="Arial"/>
          <w:sz w:val="22"/>
          <w:szCs w:val="22"/>
        </w:rPr>
        <w:t xml:space="preserve">ribuibles al silencio del quejoso, no sin antes recordarle a la enajenadora </w:t>
      </w:r>
      <w:r>
        <w:rPr>
          <w:rFonts w:ascii="Arial" w:eastAsia="Arial" w:hAnsi="Arial" w:cs="Arial"/>
          <w:sz w:val="22"/>
          <w:szCs w:val="22"/>
          <w:highlight w:val="white"/>
        </w:rPr>
        <w:t>INVERSIONES INMOBILIARIAS ZENIT S.A.S. EN LIQUIDACIÓN</w:t>
      </w:r>
      <w:r>
        <w:rPr>
          <w:rFonts w:ascii="Arial" w:eastAsia="Arial" w:hAnsi="Arial" w:cs="Arial"/>
          <w:sz w:val="22"/>
          <w:szCs w:val="22"/>
        </w:rPr>
        <w:t>, la importancia de dar cumplimiento a las obligaciones señaladas en la norma y a las órdenes emitidas por este Despacho, así como al quejoso el deber de colaboración con las actuaciones necesarias para la verificación y cumplimiento de dichas órdenes.</w:t>
      </w:r>
    </w:p>
    <w:p w14:paraId="4DAD7E38" w14:textId="77777777" w:rsidR="002A3ACA" w:rsidRDefault="002A3ACA">
      <w:pPr>
        <w:widowControl w:val="0"/>
        <w:jc w:val="both"/>
        <w:rPr>
          <w:rFonts w:ascii="Arial" w:eastAsia="Arial" w:hAnsi="Arial" w:cs="Arial"/>
          <w:sz w:val="22"/>
          <w:szCs w:val="22"/>
        </w:rPr>
      </w:pPr>
    </w:p>
    <w:p w14:paraId="13D016FE" w14:textId="77777777" w:rsidR="002A3ACA" w:rsidRDefault="00471A97">
      <w:pPr>
        <w:widowControl w:val="0"/>
        <w:jc w:val="both"/>
        <w:rPr>
          <w:rFonts w:ascii="Arial" w:eastAsia="Arial" w:hAnsi="Arial" w:cs="Arial"/>
          <w:sz w:val="22"/>
          <w:szCs w:val="22"/>
        </w:rPr>
      </w:pPr>
      <w:r>
        <w:rPr>
          <w:rFonts w:ascii="Arial" w:eastAsia="Arial" w:hAnsi="Arial" w:cs="Arial"/>
          <w:sz w:val="22"/>
          <w:szCs w:val="22"/>
        </w:rPr>
        <w:t>En consecuencia, por las razones que se acaban de señalar, y en ejercicio de las facultades de Inspección, Vigilancia y Control respecto a los enajenadores de vivienda, concernientes a este Despacho, no es procedente continuar adelantando las actuaciones administrativas relacionadas con la verificación de la orden establecida en la Resolución No. 825 del 01 de agosto de 2018, "</w:t>
      </w:r>
      <w:r>
        <w:rPr>
          <w:rFonts w:ascii="Arial" w:eastAsia="Arial" w:hAnsi="Arial" w:cs="Arial"/>
          <w:i/>
          <w:iCs/>
          <w:sz w:val="22"/>
          <w:szCs w:val="22"/>
        </w:rPr>
        <w:t>Por la cual se impone una sanción y se imparte una orden</w:t>
      </w:r>
      <w:r>
        <w:rPr>
          <w:rFonts w:ascii="Arial" w:eastAsia="Arial" w:hAnsi="Arial" w:cs="Arial"/>
          <w:sz w:val="22"/>
          <w:szCs w:val="22"/>
        </w:rPr>
        <w:t>", por lo que, de conformidad con las razones antes expuestas, se dará por terminada la presente actuación.</w:t>
      </w:r>
    </w:p>
    <w:p w14:paraId="310EDBC0" w14:textId="77777777" w:rsidR="002A3ACA" w:rsidRDefault="002A3ACA">
      <w:pPr>
        <w:widowControl w:val="0"/>
        <w:jc w:val="both"/>
        <w:rPr>
          <w:rFonts w:ascii="Arial" w:eastAsia="Arial" w:hAnsi="Arial" w:cs="Arial"/>
          <w:sz w:val="22"/>
          <w:szCs w:val="22"/>
        </w:rPr>
      </w:pPr>
    </w:p>
    <w:p w14:paraId="2211278C" w14:textId="77777777" w:rsidR="002A3ACA" w:rsidRDefault="00471A97">
      <w:pPr>
        <w:widowControl w:val="0"/>
        <w:jc w:val="both"/>
        <w:rPr>
          <w:rFonts w:ascii="Arial" w:eastAsia="Arial" w:hAnsi="Arial" w:cs="Arial"/>
          <w:sz w:val="22"/>
          <w:szCs w:val="22"/>
        </w:rPr>
      </w:pPr>
      <w:r>
        <w:rPr>
          <w:rFonts w:ascii="Arial" w:eastAsia="Arial" w:hAnsi="Arial" w:cs="Arial"/>
          <w:sz w:val="22"/>
          <w:szCs w:val="22"/>
        </w:rPr>
        <w:t>En mérito de lo expuesto, este Despacho,</w:t>
      </w:r>
    </w:p>
    <w:p w14:paraId="0726F4B0" w14:textId="77777777" w:rsidR="002A3ACA" w:rsidRDefault="002A3ACA">
      <w:pPr>
        <w:widowControl w:val="0"/>
        <w:jc w:val="both"/>
        <w:rPr>
          <w:rFonts w:ascii="Arial" w:eastAsia="Arial" w:hAnsi="Arial" w:cs="Arial"/>
          <w:sz w:val="22"/>
          <w:szCs w:val="22"/>
        </w:rPr>
      </w:pPr>
    </w:p>
    <w:p w14:paraId="7C85BAB5" w14:textId="77777777" w:rsidR="002A3ACA" w:rsidRDefault="00471A97">
      <w:pPr>
        <w:widowControl w:val="0"/>
        <w:jc w:val="center"/>
        <w:rPr>
          <w:rFonts w:ascii="Arial" w:eastAsia="Arial" w:hAnsi="Arial" w:cs="Arial"/>
          <w:b/>
          <w:bCs/>
          <w:sz w:val="22"/>
          <w:szCs w:val="22"/>
        </w:rPr>
      </w:pPr>
      <w:r>
        <w:rPr>
          <w:rFonts w:ascii="Arial" w:eastAsia="Arial" w:hAnsi="Arial" w:cs="Arial"/>
          <w:b/>
          <w:bCs/>
          <w:sz w:val="22"/>
          <w:szCs w:val="22"/>
        </w:rPr>
        <w:t>RESUELVE:</w:t>
      </w:r>
    </w:p>
    <w:p w14:paraId="3158A97E" w14:textId="77777777" w:rsidR="002A3ACA" w:rsidRDefault="002A3ACA">
      <w:pPr>
        <w:widowControl w:val="0"/>
        <w:jc w:val="both"/>
        <w:rPr>
          <w:rFonts w:ascii="Arial" w:eastAsia="Arial" w:hAnsi="Arial" w:cs="Arial"/>
          <w:sz w:val="22"/>
          <w:szCs w:val="22"/>
        </w:rPr>
      </w:pPr>
    </w:p>
    <w:p w14:paraId="316B0471" w14:textId="77777777" w:rsidR="002A3ACA" w:rsidRDefault="00471A97">
      <w:pPr>
        <w:widowControl w:val="0"/>
        <w:jc w:val="both"/>
        <w:rPr>
          <w:rFonts w:ascii="Arial" w:eastAsia="Arial" w:hAnsi="Arial" w:cs="Arial"/>
          <w:sz w:val="22"/>
          <w:szCs w:val="22"/>
        </w:rPr>
      </w:pPr>
      <w:r>
        <w:rPr>
          <w:rFonts w:ascii="Arial" w:eastAsia="Arial" w:hAnsi="Arial" w:cs="Arial"/>
          <w:b/>
          <w:bCs/>
          <w:sz w:val="22"/>
          <w:szCs w:val="22"/>
        </w:rPr>
        <w:t>ARTÍCULO PRIMERO.</w:t>
      </w:r>
      <w:r>
        <w:rPr>
          <w:rFonts w:ascii="Arial" w:eastAsia="Arial" w:hAnsi="Arial" w:cs="Arial"/>
          <w:sz w:val="22"/>
          <w:szCs w:val="22"/>
        </w:rPr>
        <w:t xml:space="preserve"> Declárase culminada la actuación administrativa relacionada con la verificación del cumplimiento de la orden de hacer impuesta a la sociedad enajenadora </w:t>
      </w:r>
      <w:r>
        <w:rPr>
          <w:rFonts w:ascii="Arial" w:eastAsia="Arial" w:hAnsi="Arial" w:cs="Arial"/>
          <w:sz w:val="22"/>
          <w:szCs w:val="22"/>
          <w:highlight w:val="white"/>
        </w:rPr>
        <w:t>INVERSIONES INMOBILIARIAS ZENIT S.A.S. EN LIQUIDACIÓN,</w:t>
      </w:r>
      <w:r>
        <w:rPr>
          <w:rFonts w:ascii="Arial" w:eastAsia="Arial" w:hAnsi="Arial" w:cs="Arial"/>
          <w:sz w:val="22"/>
          <w:szCs w:val="22"/>
        </w:rPr>
        <w:t xml:space="preserve"> identificada con NIT No.900.410.744-5, representada legalmente (o quien haga sus veces) por el señor FERNANDO ALBERTO BARROS SÁNCHEZ, en la Resolución No. 825 del 01 de agosto de 2018, "</w:t>
      </w:r>
      <w:r>
        <w:rPr>
          <w:rFonts w:ascii="Arial" w:eastAsia="Arial" w:hAnsi="Arial" w:cs="Arial"/>
          <w:i/>
          <w:iCs/>
          <w:sz w:val="22"/>
          <w:szCs w:val="22"/>
        </w:rPr>
        <w:t>Por la cual se impone una sanción y se imparte una orden</w:t>
      </w:r>
      <w:r>
        <w:rPr>
          <w:rFonts w:ascii="Arial" w:eastAsia="Arial" w:hAnsi="Arial" w:cs="Arial"/>
          <w:sz w:val="22"/>
          <w:szCs w:val="22"/>
        </w:rPr>
        <w:t>", por encontrarse plenamente cumplida y subsanados los hecho</w:t>
      </w:r>
      <w:r>
        <w:rPr>
          <w:rFonts w:ascii="Arial" w:eastAsia="Arial" w:hAnsi="Arial" w:cs="Arial"/>
          <w:sz w:val="22"/>
          <w:szCs w:val="22"/>
        </w:rPr>
        <w:t xml:space="preserve">s que dieron lugar a esta, de conformidad con las razones expuestas en la parte motiva del presente Acto Administrativo.  </w:t>
      </w:r>
    </w:p>
    <w:p w14:paraId="71962955" w14:textId="77777777" w:rsidR="002A3ACA" w:rsidRDefault="002A3ACA">
      <w:pPr>
        <w:widowControl w:val="0"/>
        <w:jc w:val="both"/>
        <w:rPr>
          <w:rFonts w:ascii="Arial" w:eastAsia="Arial" w:hAnsi="Arial" w:cs="Arial"/>
          <w:b/>
          <w:bCs/>
          <w:sz w:val="22"/>
          <w:szCs w:val="22"/>
        </w:rPr>
      </w:pPr>
    </w:p>
    <w:p w14:paraId="28BC8A41" w14:textId="1DE54B6F" w:rsidR="002A3ACA" w:rsidRDefault="00471A97">
      <w:pPr>
        <w:jc w:val="both"/>
        <w:rPr>
          <w:rFonts w:ascii="Arial" w:eastAsia="Arial" w:hAnsi="Arial" w:cs="Arial"/>
          <w:sz w:val="22"/>
          <w:szCs w:val="22"/>
        </w:rPr>
      </w:pPr>
      <w:r>
        <w:rPr>
          <w:rFonts w:ascii="Arial" w:eastAsia="Arial" w:hAnsi="Arial" w:cs="Arial"/>
          <w:b/>
          <w:bCs/>
          <w:sz w:val="22"/>
          <w:szCs w:val="22"/>
        </w:rPr>
        <w:t>ARTÍCULO SEGUNDO:</w:t>
      </w:r>
      <w:r>
        <w:rPr>
          <w:rFonts w:ascii="Arial" w:eastAsia="Arial" w:hAnsi="Arial" w:cs="Arial"/>
          <w:sz w:val="22"/>
          <w:szCs w:val="22"/>
        </w:rPr>
        <w:t xml:space="preserve"> Notificar el contenido de la presente Resolución al representante legal y/o al apoderado de la sociedad enajenadora </w:t>
      </w:r>
      <w:r>
        <w:rPr>
          <w:rFonts w:ascii="Arial" w:eastAsia="Arial" w:hAnsi="Arial" w:cs="Arial"/>
          <w:sz w:val="22"/>
          <w:szCs w:val="22"/>
          <w:highlight w:val="white"/>
        </w:rPr>
        <w:t>INVERSIONES INMOBILIARIAS ZENIT S.A.S. EN LIQUIDACIÓN,</w:t>
      </w:r>
      <w:r>
        <w:rPr>
          <w:rFonts w:ascii="Arial" w:eastAsia="Arial" w:hAnsi="Arial" w:cs="Arial"/>
          <w:sz w:val="22"/>
          <w:szCs w:val="22"/>
        </w:rPr>
        <w:t xml:space="preserve"> identificada con NIT No.900.410.744-5, para lo cual deberá enviarse citación para notificación a la dirección </w:t>
      </w:r>
      <w:r w:rsidR="002C1537">
        <w:rPr>
          <w:rFonts w:ascii="Arial" w:eastAsia="Arial" w:hAnsi="Arial" w:cs="Arial"/>
          <w:sz w:val="22"/>
          <w:szCs w:val="22"/>
        </w:rPr>
        <w:t xml:space="preserve">Carrera </w:t>
      </w:r>
      <w:r>
        <w:rPr>
          <w:rFonts w:ascii="Arial" w:eastAsia="Arial" w:hAnsi="Arial" w:cs="Arial"/>
          <w:sz w:val="22"/>
          <w:szCs w:val="22"/>
        </w:rPr>
        <w:t>69</w:t>
      </w:r>
      <w:r w:rsidR="002C1537">
        <w:rPr>
          <w:rFonts w:ascii="Arial" w:eastAsia="Arial" w:hAnsi="Arial" w:cs="Arial"/>
          <w:sz w:val="22"/>
          <w:szCs w:val="22"/>
        </w:rPr>
        <w:t xml:space="preserve"> </w:t>
      </w:r>
      <w:r>
        <w:rPr>
          <w:rFonts w:ascii="Arial" w:eastAsia="Arial" w:hAnsi="Arial" w:cs="Arial"/>
          <w:sz w:val="22"/>
          <w:szCs w:val="22"/>
        </w:rPr>
        <w:t xml:space="preserve">d </w:t>
      </w:r>
      <w:r w:rsidR="002C1537">
        <w:rPr>
          <w:rFonts w:ascii="Arial" w:eastAsia="Arial" w:hAnsi="Arial" w:cs="Arial"/>
          <w:sz w:val="22"/>
          <w:szCs w:val="22"/>
        </w:rPr>
        <w:t xml:space="preserve">No. </w:t>
      </w:r>
      <w:r>
        <w:rPr>
          <w:rFonts w:ascii="Arial" w:eastAsia="Arial" w:hAnsi="Arial" w:cs="Arial"/>
          <w:sz w:val="22"/>
          <w:szCs w:val="22"/>
        </w:rPr>
        <w:t>96</w:t>
      </w:r>
      <w:r w:rsidR="002C1537">
        <w:rPr>
          <w:rFonts w:ascii="Arial" w:eastAsia="Arial" w:hAnsi="Arial" w:cs="Arial"/>
          <w:sz w:val="22"/>
          <w:szCs w:val="22"/>
        </w:rPr>
        <w:t xml:space="preserve"> </w:t>
      </w:r>
      <w:r>
        <w:rPr>
          <w:rFonts w:ascii="Arial" w:eastAsia="Arial" w:hAnsi="Arial" w:cs="Arial"/>
          <w:sz w:val="22"/>
          <w:szCs w:val="22"/>
        </w:rPr>
        <w:t>-</w:t>
      </w:r>
      <w:r w:rsidR="002C1537">
        <w:rPr>
          <w:rFonts w:ascii="Arial" w:eastAsia="Arial" w:hAnsi="Arial" w:cs="Arial"/>
          <w:sz w:val="22"/>
          <w:szCs w:val="22"/>
        </w:rPr>
        <w:t xml:space="preserve"> </w:t>
      </w:r>
      <w:r>
        <w:rPr>
          <w:rFonts w:ascii="Arial" w:eastAsia="Arial" w:hAnsi="Arial" w:cs="Arial"/>
          <w:sz w:val="22"/>
          <w:szCs w:val="22"/>
        </w:rPr>
        <w:t xml:space="preserve">39 </w:t>
      </w:r>
      <w:proofErr w:type="spellStart"/>
      <w:r>
        <w:rPr>
          <w:rFonts w:ascii="Arial" w:eastAsia="Arial" w:hAnsi="Arial" w:cs="Arial"/>
          <w:sz w:val="22"/>
          <w:szCs w:val="22"/>
        </w:rPr>
        <w:t>int</w:t>
      </w:r>
      <w:proofErr w:type="spellEnd"/>
      <w:r>
        <w:rPr>
          <w:rFonts w:ascii="Arial" w:eastAsia="Arial" w:hAnsi="Arial" w:cs="Arial"/>
          <w:sz w:val="22"/>
          <w:szCs w:val="22"/>
        </w:rPr>
        <w:t xml:space="preserve"> 5 apto 410 de acuerdo al certificado de la cámara de comercio consultado el día </w:t>
      </w:r>
      <w:r w:rsidR="002C1537">
        <w:rPr>
          <w:rFonts w:ascii="Arial" w:eastAsia="Arial" w:hAnsi="Arial" w:cs="Arial"/>
          <w:sz w:val="22"/>
          <w:szCs w:val="22"/>
        </w:rPr>
        <w:t>22 de abril de 2026</w:t>
      </w:r>
      <w:r>
        <w:rPr>
          <w:rFonts w:ascii="Arial" w:eastAsia="Arial" w:hAnsi="Arial" w:cs="Arial"/>
          <w:sz w:val="22"/>
          <w:szCs w:val="22"/>
        </w:rPr>
        <w:t>, o, en su defecto, de conformidad con las normas de notificación previstas en la Ley 1437 de 2011.</w:t>
      </w:r>
    </w:p>
    <w:p w14:paraId="6410BA80" w14:textId="77777777" w:rsidR="002A3ACA" w:rsidRDefault="002A3ACA">
      <w:pPr>
        <w:rPr>
          <w:rFonts w:ascii="Arial" w:eastAsia="Arial" w:hAnsi="Arial" w:cs="Arial"/>
          <w:sz w:val="22"/>
          <w:szCs w:val="22"/>
        </w:rPr>
      </w:pPr>
    </w:p>
    <w:p w14:paraId="70CFA700" w14:textId="364C0A3E" w:rsidR="002A3ACA" w:rsidRDefault="00471A97">
      <w:pPr>
        <w:jc w:val="both"/>
        <w:rPr>
          <w:rFonts w:ascii="Arial" w:eastAsia="Arial" w:hAnsi="Arial" w:cs="Arial"/>
          <w:sz w:val="22"/>
          <w:szCs w:val="22"/>
        </w:rPr>
      </w:pPr>
      <w:r>
        <w:rPr>
          <w:rFonts w:ascii="Arial" w:eastAsia="Arial" w:hAnsi="Arial" w:cs="Arial"/>
          <w:b/>
          <w:bCs/>
          <w:sz w:val="22"/>
          <w:szCs w:val="22"/>
        </w:rPr>
        <w:t xml:space="preserve">ARTÍCULO TERCERO: </w:t>
      </w:r>
      <w:r>
        <w:rPr>
          <w:rFonts w:ascii="Arial" w:eastAsia="Arial" w:hAnsi="Arial" w:cs="Arial"/>
          <w:sz w:val="22"/>
          <w:szCs w:val="22"/>
        </w:rPr>
        <w:t xml:space="preserve">Notificar el contenido de esta Resolución al </w:t>
      </w:r>
      <w:r w:rsidR="002C1537">
        <w:rPr>
          <w:rFonts w:ascii="Arial" w:eastAsia="Arial" w:hAnsi="Arial" w:cs="Arial"/>
          <w:sz w:val="22"/>
          <w:szCs w:val="22"/>
        </w:rPr>
        <w:t xml:space="preserve">propietario del apartamento 303 </w:t>
      </w:r>
      <w:r>
        <w:rPr>
          <w:rFonts w:ascii="Arial" w:eastAsia="Arial" w:hAnsi="Arial" w:cs="Arial"/>
          <w:sz w:val="22"/>
          <w:szCs w:val="22"/>
        </w:rPr>
        <w:t>(o quien haga sus veces) del proyecto de vivienda EDIFICIO GHARA, para lo cual deberá enviarse citación para notificación personal a la Calle 124 No. 47</w:t>
      </w:r>
      <w:r w:rsidR="002C1537">
        <w:rPr>
          <w:rFonts w:ascii="Arial" w:eastAsia="Arial" w:hAnsi="Arial" w:cs="Arial"/>
          <w:sz w:val="22"/>
          <w:szCs w:val="22"/>
        </w:rPr>
        <w:t xml:space="preserve"> </w:t>
      </w:r>
      <w:r>
        <w:rPr>
          <w:rFonts w:ascii="Arial" w:eastAsia="Arial" w:hAnsi="Arial" w:cs="Arial"/>
          <w:sz w:val="22"/>
          <w:szCs w:val="22"/>
        </w:rPr>
        <w:t>-</w:t>
      </w:r>
      <w:r w:rsidR="002C1537">
        <w:rPr>
          <w:rFonts w:ascii="Arial" w:eastAsia="Arial" w:hAnsi="Arial" w:cs="Arial"/>
          <w:sz w:val="22"/>
          <w:szCs w:val="22"/>
        </w:rPr>
        <w:t xml:space="preserve"> </w:t>
      </w:r>
      <w:r>
        <w:rPr>
          <w:rFonts w:ascii="Arial" w:eastAsia="Arial" w:hAnsi="Arial" w:cs="Arial"/>
          <w:sz w:val="22"/>
          <w:szCs w:val="22"/>
        </w:rPr>
        <w:t xml:space="preserve">06 </w:t>
      </w:r>
      <w:r w:rsidR="002C1537">
        <w:rPr>
          <w:rFonts w:ascii="Arial" w:eastAsia="Arial" w:hAnsi="Arial" w:cs="Arial"/>
          <w:sz w:val="22"/>
          <w:szCs w:val="22"/>
        </w:rPr>
        <w:t xml:space="preserve">apartamento 303 </w:t>
      </w:r>
      <w:r>
        <w:rPr>
          <w:rFonts w:ascii="Arial" w:eastAsia="Arial" w:hAnsi="Arial" w:cs="Arial"/>
          <w:sz w:val="22"/>
          <w:szCs w:val="22"/>
        </w:rPr>
        <w:t>de Bogotá; o, en su defecto, de conformidad con las normas de notificación previstas en la Ley 1437 de 2011.</w:t>
      </w:r>
    </w:p>
    <w:p w14:paraId="6946976B" w14:textId="77777777" w:rsidR="002A3ACA" w:rsidRDefault="002A3ACA">
      <w:pPr>
        <w:widowControl w:val="0"/>
        <w:jc w:val="both"/>
        <w:rPr>
          <w:rFonts w:ascii="Arial" w:eastAsia="Arial" w:hAnsi="Arial" w:cs="Arial"/>
          <w:b/>
          <w:bCs/>
          <w:sz w:val="22"/>
          <w:szCs w:val="22"/>
        </w:rPr>
      </w:pPr>
    </w:p>
    <w:p w14:paraId="542BDDC7" w14:textId="77777777" w:rsidR="002A3ACA" w:rsidRDefault="00471A97">
      <w:pPr>
        <w:widowControl w:val="0"/>
        <w:jc w:val="both"/>
        <w:rPr>
          <w:rFonts w:ascii="Arial" w:eastAsia="Arial" w:hAnsi="Arial" w:cs="Arial"/>
          <w:sz w:val="22"/>
          <w:szCs w:val="22"/>
        </w:rPr>
      </w:pPr>
      <w:r>
        <w:rPr>
          <w:rFonts w:ascii="Arial" w:eastAsia="Arial" w:hAnsi="Arial" w:cs="Arial"/>
          <w:b/>
          <w:bCs/>
          <w:sz w:val="22"/>
          <w:szCs w:val="22"/>
        </w:rPr>
        <w:t xml:space="preserve">ARTÍCULO CUARTO: </w:t>
      </w:r>
      <w:r>
        <w:rPr>
          <w:rFonts w:ascii="Arial" w:eastAsia="Arial" w:hAnsi="Arial" w:cs="Arial"/>
          <w:sz w:val="22"/>
          <w:szCs w:val="22"/>
        </w:rPr>
        <w:t xml:space="preserve">Contra la presente Resolución procede el recurso de reposición ante este Despacho y el de apelación ante la Subsecretaría de Inspección, Vigilancia y Control de Vivienda de la Secretaría Distrital del Hábitat, los cuales se podrán interponer en la diligencia de notificación personal, o dentro de los diez (10) días hábiles siguientes a ella, o a la notificación por aviso, o al vencimiento del término de publicación según el caso, de conformidad con lo dispuesto en el Código de Procedimiento Administrativo y </w:t>
      </w:r>
      <w:r>
        <w:rPr>
          <w:rFonts w:ascii="Arial" w:eastAsia="Arial" w:hAnsi="Arial" w:cs="Arial"/>
          <w:sz w:val="22"/>
          <w:szCs w:val="22"/>
        </w:rPr>
        <w:t>de lo Contencioso Administrativo.</w:t>
      </w:r>
    </w:p>
    <w:p w14:paraId="31E80970" w14:textId="77777777" w:rsidR="002A3ACA" w:rsidRDefault="002A3ACA">
      <w:pPr>
        <w:widowControl w:val="0"/>
        <w:jc w:val="both"/>
        <w:rPr>
          <w:rFonts w:ascii="Arial" w:eastAsia="Arial" w:hAnsi="Arial" w:cs="Arial"/>
          <w:b/>
          <w:bCs/>
          <w:sz w:val="22"/>
          <w:szCs w:val="22"/>
        </w:rPr>
      </w:pPr>
    </w:p>
    <w:p w14:paraId="2DBEE7FA" w14:textId="77777777" w:rsidR="002A3ACA" w:rsidRDefault="00471A97">
      <w:pPr>
        <w:widowControl w:val="0"/>
        <w:jc w:val="both"/>
        <w:rPr>
          <w:rFonts w:ascii="Arial" w:eastAsia="Arial" w:hAnsi="Arial" w:cs="Arial"/>
          <w:sz w:val="22"/>
          <w:szCs w:val="22"/>
        </w:rPr>
      </w:pPr>
      <w:r>
        <w:rPr>
          <w:rFonts w:ascii="Arial" w:eastAsia="Arial" w:hAnsi="Arial" w:cs="Arial"/>
          <w:b/>
          <w:bCs/>
          <w:sz w:val="22"/>
          <w:szCs w:val="22"/>
        </w:rPr>
        <w:t>ARTÍCULO QUINTO.</w:t>
      </w:r>
      <w:r>
        <w:rPr>
          <w:rFonts w:ascii="Arial" w:eastAsia="Arial" w:hAnsi="Arial" w:cs="Arial"/>
          <w:sz w:val="22"/>
          <w:szCs w:val="22"/>
        </w:rPr>
        <w:t xml:space="preserve"> Una vez en firme el presente acto administrativo se procederá con su archivo.</w:t>
      </w:r>
    </w:p>
    <w:p w14:paraId="0FD636F1" w14:textId="77777777" w:rsidR="002A3ACA" w:rsidRDefault="002A3ACA">
      <w:pPr>
        <w:widowControl w:val="0"/>
        <w:jc w:val="both"/>
        <w:rPr>
          <w:rFonts w:ascii="Arial" w:eastAsia="Arial" w:hAnsi="Arial" w:cs="Arial"/>
          <w:b/>
          <w:bCs/>
          <w:sz w:val="22"/>
          <w:szCs w:val="22"/>
        </w:rPr>
      </w:pPr>
    </w:p>
    <w:p w14:paraId="28067C37" w14:textId="77777777" w:rsidR="002A3ACA" w:rsidRDefault="00471A97">
      <w:pPr>
        <w:widowControl w:val="0"/>
        <w:jc w:val="both"/>
        <w:rPr>
          <w:rFonts w:ascii="Arial" w:eastAsia="Arial" w:hAnsi="Arial" w:cs="Arial"/>
          <w:sz w:val="22"/>
          <w:szCs w:val="22"/>
        </w:rPr>
      </w:pPr>
      <w:r>
        <w:rPr>
          <w:rFonts w:ascii="Arial" w:eastAsia="Arial" w:hAnsi="Arial" w:cs="Arial"/>
          <w:b/>
          <w:bCs/>
          <w:sz w:val="22"/>
          <w:szCs w:val="22"/>
        </w:rPr>
        <w:t xml:space="preserve">ARTÍCULO SEXTO. </w:t>
      </w:r>
      <w:r>
        <w:rPr>
          <w:rFonts w:ascii="Arial" w:eastAsia="Arial" w:hAnsi="Arial" w:cs="Arial"/>
          <w:sz w:val="22"/>
          <w:szCs w:val="22"/>
        </w:rPr>
        <w:t>La presente resolución rige a partir de la fecha de su expedición.</w:t>
      </w:r>
    </w:p>
    <w:p w14:paraId="1BD81A75" w14:textId="77777777" w:rsidR="002A3ACA" w:rsidRDefault="002A3ACA">
      <w:pPr>
        <w:widowControl w:val="0"/>
        <w:jc w:val="center"/>
        <w:rPr>
          <w:rFonts w:ascii="Arial" w:eastAsia="Arial" w:hAnsi="Arial" w:cs="Arial"/>
          <w:b/>
          <w:bCs/>
          <w:sz w:val="22"/>
          <w:szCs w:val="22"/>
        </w:rPr>
      </w:pPr>
    </w:p>
    <w:p w14:paraId="4C7BB120" w14:textId="77777777" w:rsidR="002A3ACA" w:rsidRDefault="002A3ACA">
      <w:pPr>
        <w:widowControl w:val="0"/>
        <w:jc w:val="center"/>
        <w:rPr>
          <w:rFonts w:ascii="Arial" w:eastAsia="Arial" w:hAnsi="Arial" w:cs="Arial"/>
          <w:b/>
          <w:bCs/>
          <w:sz w:val="22"/>
          <w:szCs w:val="22"/>
        </w:rPr>
      </w:pPr>
    </w:p>
    <w:p w14:paraId="4047026D" w14:textId="77777777" w:rsidR="002A3ACA" w:rsidRDefault="00471A97">
      <w:pPr>
        <w:widowControl w:val="0"/>
        <w:jc w:val="center"/>
        <w:rPr>
          <w:rFonts w:ascii="Arial" w:eastAsia="Arial" w:hAnsi="Arial" w:cs="Arial"/>
          <w:b/>
          <w:bCs/>
          <w:sz w:val="22"/>
          <w:szCs w:val="22"/>
        </w:rPr>
      </w:pPr>
      <w:r>
        <w:rPr>
          <w:rFonts w:ascii="Arial" w:eastAsia="Arial" w:hAnsi="Arial" w:cs="Arial"/>
          <w:b/>
          <w:bCs/>
          <w:sz w:val="22"/>
          <w:szCs w:val="22"/>
        </w:rPr>
        <w:t xml:space="preserve">NOTIFÍQUESE Y CÚMPLASE </w:t>
      </w:r>
    </w:p>
    <w:p w14:paraId="7F34D55A" w14:textId="77777777" w:rsidR="002A3ACA" w:rsidRDefault="002A3ACA">
      <w:pPr>
        <w:widowControl w:val="0"/>
        <w:jc w:val="center"/>
        <w:rPr>
          <w:rFonts w:ascii="Arial" w:eastAsia="Arial" w:hAnsi="Arial" w:cs="Arial"/>
          <w:b/>
          <w:bCs/>
          <w:sz w:val="22"/>
          <w:szCs w:val="22"/>
        </w:rPr>
      </w:pPr>
    </w:p>
    <w:p w14:paraId="28E9E205" w14:textId="77777777" w:rsidR="002A3ACA" w:rsidRDefault="002A3ACA">
      <w:pPr>
        <w:widowControl w:val="0"/>
        <w:rPr>
          <w:rFonts w:ascii="Arial" w:eastAsia="Arial" w:hAnsi="Arial" w:cs="Arial"/>
          <w:b/>
          <w:bCs/>
          <w:sz w:val="22"/>
          <w:szCs w:val="22"/>
        </w:rPr>
      </w:pPr>
    </w:p>
    <w:p w14:paraId="758417E7" w14:textId="77777777" w:rsidR="002C1537" w:rsidRDefault="002C1537">
      <w:pPr>
        <w:widowControl w:val="0"/>
        <w:rPr>
          <w:rFonts w:ascii="Arial" w:eastAsia="Arial" w:hAnsi="Arial" w:cs="Arial"/>
          <w:b/>
          <w:bCs/>
          <w:sz w:val="22"/>
          <w:szCs w:val="22"/>
        </w:rPr>
      </w:pPr>
    </w:p>
    <w:p w14:paraId="7DE21ED5" w14:textId="77777777" w:rsidR="002C1537" w:rsidRDefault="002C1537">
      <w:pPr>
        <w:widowControl w:val="0"/>
        <w:rPr>
          <w:rFonts w:ascii="Arial" w:eastAsia="Arial" w:hAnsi="Arial" w:cs="Arial"/>
          <w:b/>
          <w:bCs/>
          <w:sz w:val="22"/>
          <w:szCs w:val="22"/>
        </w:rPr>
      </w:pPr>
    </w:p>
    <w:p w14:paraId="4D9BB7BC" w14:textId="77777777" w:rsidR="002C1537" w:rsidRDefault="002C1537">
      <w:pPr>
        <w:widowControl w:val="0"/>
        <w:rPr>
          <w:rFonts w:ascii="Arial" w:eastAsia="Arial" w:hAnsi="Arial" w:cs="Arial"/>
          <w:b/>
          <w:bCs/>
          <w:sz w:val="22"/>
          <w:szCs w:val="22"/>
        </w:rPr>
      </w:pPr>
    </w:p>
    <w:p w14:paraId="2F90AB44" w14:textId="77777777" w:rsidR="002A3ACA" w:rsidRDefault="002A3ACA">
      <w:pPr>
        <w:widowControl w:val="0"/>
        <w:jc w:val="both"/>
        <w:rPr>
          <w:rFonts w:ascii="Arial" w:eastAsia="Arial" w:hAnsi="Arial" w:cs="Arial"/>
          <w:sz w:val="22"/>
          <w:szCs w:val="22"/>
        </w:rPr>
      </w:pPr>
    </w:p>
    <w:p w14:paraId="5C071430" w14:textId="77777777" w:rsidR="002A3ACA" w:rsidRDefault="00471A97">
      <w:pPr>
        <w:widowControl w:val="0"/>
        <w:jc w:val="center"/>
        <w:rPr>
          <w:rFonts w:ascii="Arial" w:eastAsia="Arial" w:hAnsi="Arial" w:cs="Arial"/>
          <w:b/>
          <w:bCs/>
          <w:sz w:val="22"/>
          <w:szCs w:val="22"/>
        </w:rPr>
      </w:pPr>
      <w:r>
        <w:rPr>
          <w:rFonts w:ascii="Arial" w:eastAsia="Arial" w:hAnsi="Arial" w:cs="Arial"/>
          <w:b/>
          <w:bCs/>
          <w:sz w:val="22"/>
          <w:szCs w:val="22"/>
        </w:rPr>
        <w:t>JAZMÍN ROCÍO OROZCO RODRÍGUEZ</w:t>
      </w:r>
    </w:p>
    <w:p w14:paraId="169E5007" w14:textId="77777777" w:rsidR="002A3ACA" w:rsidRDefault="00471A97">
      <w:pPr>
        <w:widowControl w:val="0"/>
        <w:jc w:val="center"/>
        <w:rPr>
          <w:rFonts w:ascii="Arial" w:eastAsia="Arial" w:hAnsi="Arial" w:cs="Arial"/>
          <w:b/>
          <w:bCs/>
          <w:sz w:val="22"/>
          <w:szCs w:val="22"/>
        </w:rPr>
      </w:pPr>
      <w:r>
        <w:rPr>
          <w:rFonts w:ascii="Arial" w:eastAsia="Arial" w:hAnsi="Arial" w:cs="Arial"/>
          <w:b/>
          <w:bCs/>
          <w:sz w:val="22"/>
          <w:szCs w:val="22"/>
        </w:rPr>
        <w:t>Directora de Investigaciones y Control de Vivienda</w:t>
      </w:r>
    </w:p>
    <w:p w14:paraId="5270E72C" w14:textId="77777777" w:rsidR="002A3ACA" w:rsidRDefault="002A3ACA">
      <w:pPr>
        <w:widowControl w:val="0"/>
        <w:jc w:val="both"/>
        <w:rPr>
          <w:rFonts w:ascii="Arial" w:eastAsia="Arial" w:hAnsi="Arial" w:cs="Arial"/>
          <w:i/>
          <w:iCs/>
          <w:sz w:val="22"/>
          <w:szCs w:val="22"/>
        </w:rPr>
      </w:pPr>
    </w:p>
    <w:p w14:paraId="50615987" w14:textId="77777777" w:rsidR="002A3ACA" w:rsidRDefault="00471A97">
      <w:pPr>
        <w:jc w:val="both"/>
        <w:rPr>
          <w:rFonts w:ascii="Arial" w:eastAsia="Arial" w:hAnsi="Arial" w:cs="Arial"/>
          <w:i/>
          <w:iCs/>
          <w:sz w:val="16"/>
          <w:szCs w:val="16"/>
        </w:rPr>
      </w:pPr>
      <w:r>
        <w:rPr>
          <w:rFonts w:ascii="Arial" w:eastAsia="Arial" w:hAnsi="Arial" w:cs="Arial"/>
          <w:i/>
          <w:iCs/>
          <w:sz w:val="16"/>
          <w:szCs w:val="16"/>
        </w:rPr>
        <w:t>Proyectó: Daniel Santiago Cristiano González - Abogado Contratista – DICV</w:t>
      </w:r>
    </w:p>
    <w:p w14:paraId="41B46204" w14:textId="77777777" w:rsidR="002A3ACA" w:rsidRDefault="00471A97">
      <w:pPr>
        <w:jc w:val="both"/>
        <w:rPr>
          <w:rFonts w:ascii="Arial" w:eastAsia="Arial" w:hAnsi="Arial" w:cs="Arial"/>
          <w:i/>
          <w:iCs/>
          <w:sz w:val="16"/>
          <w:szCs w:val="16"/>
        </w:rPr>
      </w:pPr>
      <w:r>
        <w:rPr>
          <w:rFonts w:ascii="Arial" w:eastAsia="Arial" w:hAnsi="Arial" w:cs="Arial"/>
          <w:i/>
          <w:iCs/>
          <w:sz w:val="16"/>
          <w:szCs w:val="16"/>
        </w:rPr>
        <w:t xml:space="preserve">Revisó: Mauricio Hernández Beltrán – Abogado Contratista – DICV </w:t>
      </w:r>
    </w:p>
    <w:p w14:paraId="4021025A" w14:textId="77777777" w:rsidR="002A3ACA" w:rsidRDefault="002A3ACA">
      <w:pPr>
        <w:pBdr>
          <w:top w:val="nil"/>
          <w:left w:val="nil"/>
          <w:bottom w:val="nil"/>
          <w:right w:val="nil"/>
          <w:between w:val="nil"/>
        </w:pBdr>
        <w:rPr>
          <w:rFonts w:ascii="Arial" w:eastAsia="Arial" w:hAnsi="Arial" w:cs="Arial"/>
          <w:b/>
          <w:bCs/>
          <w:sz w:val="22"/>
          <w:szCs w:val="22"/>
        </w:rPr>
      </w:pPr>
    </w:p>
    <w:sectPr w:rsidR="002A3ACA">
      <w:headerReference w:type="default" r:id="rId9"/>
      <w:footerReference w:type="default" r:id="rId10"/>
      <w:pgSz w:w="12240" w:h="15840"/>
      <w:pgMar w:top="1417" w:right="1701" w:bottom="1417" w:left="1701"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5FF777A" w14:textId="77777777" w:rsidR="00471A97" w:rsidRDefault="00471A97">
      <w:r>
        <w:separator/>
      </w:r>
    </w:p>
  </w:endnote>
  <w:endnote w:type="continuationSeparator" w:id="0">
    <w:p w14:paraId="6C23137B" w14:textId="77777777" w:rsidR="00471A97" w:rsidRDefault="00471A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Play">
    <w:altName w:val="Calibri"/>
    <w:charset w:val="00"/>
    <w:family w:val="auto"/>
    <w:pitch w:val="default"/>
    <w:embedRegular r:id="rId1" w:fontKey="{E5966877-B688-4CBD-9062-5776F12349C5}"/>
  </w:font>
  <w:font w:name="Arial">
    <w:altName w:val="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04A940D0-CEF2-4BB4-98A5-9A32D56E5D0A}"/>
    <w:embedBold r:id="rId3" w:fontKey="{FB9D5352-5048-41C6-BE41-BEE895DCFE6B}"/>
  </w:font>
  <w:font w:name="Cambria">
    <w:panose1 w:val="02040503050406030204"/>
    <w:charset w:val="00"/>
    <w:family w:val="roman"/>
    <w:pitch w:val="variable"/>
    <w:sig w:usb0="E00006FF" w:usb1="420024FF" w:usb2="02000000" w:usb3="00000000" w:csb0="0000019F" w:csb1="00000000"/>
    <w:embedRegular r:id="rId4" w:fontKey="{3FFDD17C-AB90-4D0E-A53B-F5184F787D1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7BC0BF" w14:textId="77777777" w:rsidR="002A3ACA" w:rsidRDefault="00471A97">
    <w:pPr>
      <w:pBdr>
        <w:top w:val="nil"/>
        <w:left w:val="nil"/>
        <w:bottom w:val="nil"/>
        <w:right w:val="nil"/>
        <w:between w:val="nil"/>
      </w:pBdr>
      <w:tabs>
        <w:tab w:val="center" w:pos="4419"/>
        <w:tab w:val="right" w:pos="8838"/>
      </w:tabs>
      <w:rPr>
        <w:color w:val="000000"/>
        <w:sz w:val="16"/>
        <w:szCs w:val="16"/>
      </w:rPr>
    </w:pPr>
    <w:r>
      <w:rPr>
        <w:rFonts w:ascii="Arial" w:eastAsia="Arial" w:hAnsi="Arial" w:cs="Arial"/>
        <w:color w:val="000000"/>
        <w:sz w:val="16"/>
        <w:szCs w:val="16"/>
      </w:rPr>
      <w:t xml:space="preserve">Secretaría Distrital del Hábitat                             </w:t>
    </w:r>
    <w:r>
      <w:rPr>
        <w:noProof/>
      </w:rPr>
      <w:drawing>
        <wp:anchor distT="0" distB="0" distL="114300" distR="114300" simplePos="0" relativeHeight="251659264" behindDoc="0" locked="0" layoutInCell="1" hidden="0" allowOverlap="1" wp14:anchorId="1FD40B00" wp14:editId="24B6D518">
          <wp:simplePos x="0" y="0"/>
          <wp:positionH relativeFrom="column">
            <wp:posOffset>2239010</wp:posOffset>
          </wp:positionH>
          <wp:positionV relativeFrom="paragraph">
            <wp:posOffset>74295</wp:posOffset>
          </wp:positionV>
          <wp:extent cx="2133600" cy="861695"/>
          <wp:effectExtent l="9525" t="9525" r="9525" b="9525"/>
          <wp:wrapSquare wrapText="bothSides" distT="0" distB="0" distL="114300" distR="114300"/>
          <wp:docPr id="3" name="image1.png" descr="Imagen que contiene Texto&#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1.png" descr="Imagen que contiene Texto&#10;&#10;El contenido generado por IA puede ser incorrecto."/>
                  <pic:cNvPicPr preferRelativeResize="0"/>
                </pic:nvPicPr>
                <pic:blipFill>
                  <a:blip r:embed="rId1"/>
                  <a:srcRect/>
                  <a:stretch>
                    <a:fillRect/>
                  </a:stretch>
                </pic:blipFill>
                <pic:spPr>
                  <a:xfrm>
                    <a:off x="0" y="0"/>
                    <a:ext cx="2133600" cy="861695"/>
                  </a:xfrm>
                  <a:prstGeom prst="rect">
                    <a:avLst/>
                  </a:prstGeom>
                  <a:ln w="9525">
                    <a:solidFill>
                      <a:srgbClr val="000000"/>
                    </a:solidFill>
                    <a:prstDash val="solid"/>
                  </a:ln>
                </pic:spPr>
              </pic:pic>
            </a:graphicData>
          </a:graphic>
        </wp:anchor>
      </w:drawing>
    </w:r>
  </w:p>
  <w:p w14:paraId="009E2EE4" w14:textId="77777777" w:rsidR="002A3ACA" w:rsidRDefault="00471A97">
    <w:pPr>
      <w:pBdr>
        <w:top w:val="nil"/>
        <w:left w:val="nil"/>
        <w:bottom w:val="nil"/>
        <w:right w:val="nil"/>
        <w:between w:val="nil"/>
      </w:pBdr>
      <w:tabs>
        <w:tab w:val="center" w:pos="4419"/>
        <w:tab w:val="right" w:pos="8838"/>
      </w:tabs>
      <w:rPr>
        <w:color w:val="000000"/>
      </w:rPr>
    </w:pPr>
    <w:r>
      <w:rPr>
        <w:color w:val="000000"/>
      </w:rPr>
      <w:t xml:space="preserve">Página </w:t>
    </w:r>
    <w:r>
      <w:rPr>
        <w:b/>
        <w:bCs/>
        <w:color w:val="000000"/>
      </w:rPr>
      <w:fldChar w:fldCharType="begin"/>
    </w:r>
    <w:r>
      <w:rPr>
        <w:b/>
        <w:bCs/>
        <w:color w:val="000000"/>
      </w:rPr>
      <w:instrText>PAGE</w:instrText>
    </w:r>
    <w:r>
      <w:rPr>
        <w:b/>
        <w:bCs/>
        <w:color w:val="000000"/>
      </w:rPr>
      <w:fldChar w:fldCharType="separate"/>
    </w:r>
    <w:r w:rsidR="00BE3047">
      <w:rPr>
        <w:b/>
        <w:bCs/>
        <w:noProof/>
        <w:color w:val="000000"/>
      </w:rPr>
      <w:t>1</w:t>
    </w:r>
    <w:r>
      <w:rPr>
        <w:b/>
        <w:bCs/>
        <w:color w:val="000000"/>
      </w:rPr>
      <w:fldChar w:fldCharType="end"/>
    </w:r>
    <w:r>
      <w:rPr>
        <w:color w:val="000000"/>
      </w:rPr>
      <w:t xml:space="preserve"> de </w:t>
    </w:r>
    <w:r>
      <w:rPr>
        <w:b/>
        <w:bCs/>
        <w:color w:val="000000"/>
      </w:rPr>
      <w:fldChar w:fldCharType="begin"/>
    </w:r>
    <w:r>
      <w:rPr>
        <w:b/>
        <w:bCs/>
        <w:color w:val="000000"/>
      </w:rPr>
      <w:instrText>NUMPAGES</w:instrText>
    </w:r>
    <w:r>
      <w:rPr>
        <w:b/>
        <w:bCs/>
        <w:color w:val="000000"/>
      </w:rPr>
      <w:fldChar w:fldCharType="separate"/>
    </w:r>
    <w:r w:rsidR="00BE3047">
      <w:rPr>
        <w:b/>
        <w:bCs/>
        <w:noProof/>
        <w:color w:val="000000"/>
      </w:rPr>
      <w:t>2</w:t>
    </w:r>
    <w:r>
      <w:rPr>
        <w:b/>
        <w:bCs/>
        <w:color w:val="000000"/>
      </w:rPr>
      <w:fldChar w:fldCharType="end"/>
    </w:r>
  </w:p>
  <w:p w14:paraId="4F798997" w14:textId="77777777" w:rsidR="002A3ACA" w:rsidRDefault="00471A97">
    <w:pPr>
      <w:pBdr>
        <w:top w:val="nil"/>
        <w:left w:val="nil"/>
        <w:bottom w:val="nil"/>
        <w:right w:val="nil"/>
        <w:between w:val="nil"/>
      </w:pBdr>
      <w:tabs>
        <w:tab w:val="center" w:pos="4419"/>
        <w:tab w:val="right" w:pos="8838"/>
      </w:tabs>
      <w:rPr>
        <w:rFonts w:ascii="Arial" w:eastAsia="Arial" w:hAnsi="Arial" w:cs="Arial"/>
        <w:b/>
        <w:bCs/>
        <w:color w:val="000000"/>
        <w:sz w:val="14"/>
        <w:szCs w:val="14"/>
      </w:rPr>
    </w:pPr>
    <w:r>
      <w:rPr>
        <w:rFonts w:ascii="Arial" w:eastAsia="Arial" w:hAnsi="Arial" w:cs="Arial"/>
        <w:color w:val="000000"/>
        <w:sz w:val="16"/>
        <w:szCs w:val="16"/>
      </w:rPr>
      <w:t xml:space="preserve">Servicio al ciudadano: Carrera 13 No. 52-13       </w:t>
    </w:r>
  </w:p>
  <w:p w14:paraId="04A03882" w14:textId="77777777" w:rsidR="002A3ACA" w:rsidRDefault="00471A97">
    <w:pPr>
      <w:pBdr>
        <w:top w:val="nil"/>
        <w:left w:val="nil"/>
        <w:bottom w:val="nil"/>
        <w:right w:val="nil"/>
        <w:between w:val="nil"/>
      </w:pBdr>
      <w:tabs>
        <w:tab w:val="center" w:pos="4419"/>
        <w:tab w:val="right" w:pos="8838"/>
      </w:tabs>
      <w:rPr>
        <w:rFonts w:ascii="Arial" w:eastAsia="Arial" w:hAnsi="Arial" w:cs="Arial"/>
        <w:color w:val="000000"/>
        <w:sz w:val="16"/>
        <w:szCs w:val="16"/>
      </w:rPr>
    </w:pPr>
    <w:r>
      <w:rPr>
        <w:rFonts w:ascii="Arial" w:eastAsia="Arial" w:hAnsi="Arial" w:cs="Arial"/>
        <w:color w:val="000000"/>
        <w:sz w:val="16"/>
        <w:szCs w:val="16"/>
      </w:rPr>
      <w:t xml:space="preserve">Sede Principal: Calle 52 No. 13-64                     </w:t>
    </w:r>
    <w:r>
      <w:rPr>
        <w:noProof/>
      </w:rPr>
      <mc:AlternateContent>
        <mc:Choice Requires="wps">
          <w:drawing>
            <wp:anchor distT="45720" distB="45720" distL="114300" distR="114300" simplePos="0" relativeHeight="251660288" behindDoc="0" locked="0" layoutInCell="1" hidden="0" allowOverlap="1" wp14:anchorId="1519C83F" wp14:editId="1923DA27">
              <wp:simplePos x="0" y="0"/>
              <wp:positionH relativeFrom="column">
                <wp:posOffset>5175253</wp:posOffset>
              </wp:positionH>
              <wp:positionV relativeFrom="paragraph">
                <wp:posOffset>73025</wp:posOffset>
              </wp:positionV>
              <wp:extent cx="1098548" cy="756284"/>
              <wp:effectExtent l="0" t="0" r="0" b="0"/>
              <wp:wrapSquare wrapText="bothSides" distT="45720" distB="45720" distL="114300" distR="114300"/>
              <wp:docPr id="1" name="Rectángulo 1"/>
              <wp:cNvGraphicFramePr/>
              <a:graphic xmlns:a="http://schemas.openxmlformats.org/drawingml/2006/main">
                <a:graphicData uri="http://schemas.microsoft.com/office/word/2010/wordprocessingShape">
                  <wps:wsp>
                    <wps:cNvSpPr/>
                    <wps:spPr>
                      <a:xfrm>
                        <a:off x="4815776" y="3420908"/>
                        <a:ext cx="1060448" cy="718184"/>
                      </a:xfrm>
                      <a:prstGeom prst="rect">
                        <a:avLst/>
                      </a:prstGeom>
                      <a:solidFill>
                        <a:srgbClr val="FFFFFF"/>
                      </a:solidFill>
                      <a:ln w="9525" cap="flat" cmpd="sng">
                        <a:solidFill>
                          <a:srgbClr val="FFFFFF"/>
                        </a:solidFill>
                        <a:prstDash val="solid"/>
                        <a:miter lim="8000"/>
                        <a:headEnd type="none" w="sm" len="sm"/>
                        <a:tailEnd type="none" w="sm" len="sm"/>
                      </a:ln>
                    </wps:spPr>
                    <wps:txbx>
                      <w:txbxContent>
                        <w:p w14:paraId="0F74C5AA" w14:textId="77777777" w:rsidR="002A3ACA" w:rsidRDefault="00471A97">
                          <w:pPr>
                            <w:jc w:val="center"/>
                            <w:textDirection w:val="btLr"/>
                          </w:pPr>
                          <w:r>
                            <w:rPr>
                              <w:rFonts w:ascii="Arial" w:eastAsia="Arial" w:hAnsi="Arial" w:cs="Arial"/>
                              <w:color w:val="000000"/>
                              <w:sz w:val="14"/>
                            </w:rPr>
                            <w:t>PG02-PL03 V2</w:t>
                          </w:r>
                        </w:p>
                      </w:txbxContent>
                    </wps:txbx>
                    <wps:bodyPr spcFirstLastPara="1" wrap="square" lIns="91425" tIns="45700" rIns="91425" bIns="45700" anchor="t" anchorCtr="0">
                      <a:noAutofit/>
                    </wps:bodyPr>
                  </wps:wsp>
                </a:graphicData>
              </a:graphic>
            </wp:anchor>
          </w:drawing>
        </mc:Choice>
        <mc:Fallback>
          <w:pict>
            <v:rect w14:anchorId="1519C83F" id="Rectángulo 1" o:spid="_x0000_s1026" style="position:absolute;margin-left:407.5pt;margin-top:5.75pt;width:86.5pt;height:59.55pt;z-index:25166028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" strokecolor="white">
              <v:stroke startarrowwidth="narrow" startarrowlength="short" endarrowwidth="narrow" endarrowlength="short" miterlimit="5243f"/>
              <v:textbox inset="2.53958mm,1.2694mm,2.53958mm,1.2694mm">
                <w:txbxContent>
                  <w:p w14:paraId="0F74C5AA" w14:textId="77777777" w:rsidR="002A3ACA" w:rsidRDefault="00471A97">
                    <w:pPr>
                      <w:jc w:val="center"/>
                      <w:textDirection w:val="btLr"/>
                    </w:pPr>
                    <w:r>
                      <w:rPr>
                        <w:rFonts w:ascii="Arial" w:eastAsia="Arial" w:hAnsi="Arial" w:cs="Arial"/>
                        <w:color w:val="000000"/>
                        <w:sz w:val="14"/>
                      </w:rPr>
                      <w:t>PG02-PL03 V2</w:t>
                    </w:r>
                  </w:p>
                </w:txbxContent>
              </v:textbox>
              <w10:wrap type="square"/>
            </v:rect>
          </w:pict>
        </mc:Fallback>
      </mc:AlternateContent>
    </w:r>
  </w:p>
  <w:p w14:paraId="11A47938" w14:textId="77777777" w:rsidR="002A3ACA" w:rsidRDefault="00471A97">
    <w:pPr>
      <w:pBdr>
        <w:top w:val="nil"/>
        <w:left w:val="nil"/>
        <w:bottom w:val="nil"/>
        <w:right w:val="nil"/>
        <w:between w:val="nil"/>
      </w:pBdr>
      <w:tabs>
        <w:tab w:val="center" w:pos="4419"/>
        <w:tab w:val="right" w:pos="8838"/>
      </w:tabs>
      <w:rPr>
        <w:rFonts w:ascii="Arial" w:eastAsia="Arial" w:hAnsi="Arial" w:cs="Arial"/>
        <w:color w:val="000000"/>
        <w:sz w:val="16"/>
        <w:szCs w:val="16"/>
      </w:rPr>
    </w:pPr>
    <w:r>
      <w:rPr>
        <w:rFonts w:ascii="Arial" w:eastAsia="Arial" w:hAnsi="Arial" w:cs="Arial"/>
        <w:color w:val="000000"/>
        <w:sz w:val="16"/>
        <w:szCs w:val="16"/>
      </w:rPr>
      <w:t>Teléfono: 601-3581600</w:t>
    </w:r>
  </w:p>
  <w:p w14:paraId="6DCB1057" w14:textId="77777777" w:rsidR="002A3ACA" w:rsidRPr="005B00A3" w:rsidRDefault="00471A97">
    <w:pPr>
      <w:pBdr>
        <w:top w:val="nil"/>
        <w:left w:val="nil"/>
        <w:bottom w:val="nil"/>
        <w:right w:val="nil"/>
        <w:between w:val="nil"/>
      </w:pBdr>
      <w:tabs>
        <w:tab w:val="center" w:pos="4419"/>
        <w:tab w:val="right" w:pos="8838"/>
      </w:tabs>
      <w:rPr>
        <w:rFonts w:ascii="Arial" w:eastAsia="Arial" w:hAnsi="Arial" w:cs="Arial"/>
        <w:color w:val="000000"/>
        <w:sz w:val="16"/>
        <w:szCs w:val="16"/>
        <w:lang w:val="pt-PT"/>
      </w:rPr>
    </w:pPr>
    <w:r w:rsidRPr="005B00A3">
      <w:rPr>
        <w:rFonts w:ascii="Arial" w:eastAsia="Arial" w:hAnsi="Arial" w:cs="Arial"/>
        <w:color w:val="000000"/>
        <w:sz w:val="16"/>
        <w:szCs w:val="16"/>
        <w:lang w:val="pt-PT"/>
      </w:rPr>
      <w:t xml:space="preserve">Código Postal: 110231 </w:t>
    </w:r>
  </w:p>
  <w:p w14:paraId="223EBFE2" w14:textId="77777777" w:rsidR="002A3ACA" w:rsidRPr="005B00A3" w:rsidRDefault="002A3ACA">
    <w:pPr>
      <w:pBdr>
        <w:top w:val="nil"/>
        <w:left w:val="nil"/>
        <w:bottom w:val="nil"/>
        <w:right w:val="nil"/>
        <w:between w:val="nil"/>
      </w:pBdr>
      <w:tabs>
        <w:tab w:val="center" w:pos="4419"/>
        <w:tab w:val="right" w:pos="8838"/>
      </w:tabs>
      <w:rPr>
        <w:rFonts w:ascii="Arial" w:eastAsia="Arial" w:hAnsi="Arial" w:cs="Arial"/>
        <w:color w:val="000000"/>
        <w:sz w:val="16"/>
        <w:szCs w:val="16"/>
        <w:lang w:val="pt-PT"/>
      </w:rPr>
    </w:pPr>
    <w:hyperlink r:id="rId2">
      <w:r w:rsidRPr="005B00A3">
        <w:rPr>
          <w:rFonts w:ascii="Arial" w:eastAsia="Arial" w:hAnsi="Arial" w:cs="Arial"/>
          <w:color w:val="0000FF"/>
          <w:sz w:val="16"/>
          <w:szCs w:val="16"/>
          <w:u w:val="single"/>
          <w:lang w:val="pt-PT"/>
        </w:rPr>
        <w:t>www.habitatbogota.gov.co</w:t>
      </w:r>
    </w:hyperlink>
    <w:r w:rsidR="00471A97" w:rsidRPr="005B00A3">
      <w:rPr>
        <w:rFonts w:ascii="Arial" w:eastAsia="Arial" w:hAnsi="Arial" w:cs="Arial"/>
        <w:color w:val="000000"/>
        <w:sz w:val="16"/>
        <w:szCs w:val="16"/>
        <w:lang w:val="pt-PT"/>
      </w:rPr>
      <w:t xml:space="preserve">                 </w:t>
    </w:r>
  </w:p>
  <w:p w14:paraId="5C5418B1" w14:textId="77777777" w:rsidR="002A3ACA" w:rsidRPr="005B00A3" w:rsidRDefault="002A3ACA">
    <w:pPr>
      <w:pBdr>
        <w:top w:val="nil"/>
        <w:left w:val="nil"/>
        <w:bottom w:val="nil"/>
        <w:right w:val="nil"/>
        <w:between w:val="nil"/>
      </w:pBdr>
      <w:tabs>
        <w:tab w:val="center" w:pos="4419"/>
        <w:tab w:val="right" w:pos="8838"/>
      </w:tabs>
      <w:rPr>
        <w:color w:val="000000"/>
        <w:lang w:val="pt-PT"/>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28E7881" w14:textId="77777777" w:rsidR="00471A97" w:rsidRDefault="00471A97">
      <w:r>
        <w:separator/>
      </w:r>
    </w:p>
  </w:footnote>
  <w:footnote w:type="continuationSeparator" w:id="0">
    <w:p w14:paraId="36966840" w14:textId="77777777" w:rsidR="00471A97" w:rsidRDefault="00471A9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2FE429" w14:textId="77777777" w:rsidR="002A3ACA" w:rsidRDefault="002A3ACA">
    <w:pPr>
      <w:rPr>
        <w:b/>
        <w:bCs/>
        <w:sz w:val="22"/>
        <w:szCs w:val="22"/>
      </w:rPr>
    </w:pPr>
    <w:bookmarkStart w:id="7" w:name="_heading=h.g0ck6mntm1z9" w:colFirst="0" w:colLast="0"/>
    <w:bookmarkEnd w:id="7"/>
  </w:p>
  <w:p w14:paraId="1650BC8F" w14:textId="77777777" w:rsidR="002A3ACA" w:rsidRDefault="002A3ACA">
    <w:pPr>
      <w:rPr>
        <w:b/>
        <w:bCs/>
        <w:sz w:val="22"/>
        <w:szCs w:val="22"/>
      </w:rPr>
    </w:pPr>
  </w:p>
  <w:p w14:paraId="325E6E40" w14:textId="77777777" w:rsidR="002A3ACA" w:rsidRDefault="002A3ACA">
    <w:pPr>
      <w:rPr>
        <w:b/>
        <w:bCs/>
        <w:sz w:val="22"/>
        <w:szCs w:val="22"/>
      </w:rPr>
    </w:pPr>
  </w:p>
  <w:p w14:paraId="6BB85ED8" w14:textId="77777777" w:rsidR="002A3ACA" w:rsidRDefault="00471A97">
    <w:pPr>
      <w:jc w:val="center"/>
      <w:rPr>
        <w:rFonts w:ascii="Arial" w:eastAsia="Arial" w:hAnsi="Arial" w:cs="Arial"/>
        <w:b/>
        <w:bCs/>
        <w:sz w:val="22"/>
        <w:szCs w:val="22"/>
      </w:rPr>
    </w:pPr>
    <w:r>
      <w:rPr>
        <w:rFonts w:ascii="Arial" w:eastAsia="Arial" w:hAnsi="Arial" w:cs="Arial"/>
        <w:b/>
        <w:bCs/>
        <w:sz w:val="22"/>
        <w:szCs w:val="22"/>
      </w:rPr>
      <w:t xml:space="preserve">RESOLUCIÓN No. DEL ____DE ____ </w:t>
    </w:r>
    <w:proofErr w:type="spellStart"/>
    <w:r>
      <w:rPr>
        <w:rFonts w:ascii="Arial" w:eastAsia="Arial" w:hAnsi="Arial" w:cs="Arial"/>
        <w:b/>
        <w:bCs/>
        <w:sz w:val="22"/>
        <w:szCs w:val="22"/>
      </w:rPr>
      <w:t>DE</w:t>
    </w:r>
    <w:proofErr w:type="spellEnd"/>
    <w:r>
      <w:rPr>
        <w:rFonts w:ascii="Arial" w:eastAsia="Arial" w:hAnsi="Arial" w:cs="Arial"/>
        <w:b/>
        <w:bCs/>
        <w:sz w:val="22"/>
        <w:szCs w:val="22"/>
      </w:rPr>
      <w:t xml:space="preserve"> 2026</w:t>
    </w:r>
  </w:p>
  <w:p w14:paraId="1B1B7D41" w14:textId="77777777" w:rsidR="002A3ACA" w:rsidRDefault="00471A97">
    <w:pPr>
      <w:jc w:val="center"/>
      <w:rPr>
        <w:rFonts w:ascii="Calibri" w:eastAsia="Calibri" w:hAnsi="Calibri" w:cs="Calibri"/>
        <w:b/>
        <w:bCs/>
        <w:sz w:val="22"/>
        <w:szCs w:val="22"/>
      </w:rPr>
    </w:pPr>
    <w:r>
      <w:rPr>
        <w:rFonts w:ascii="Arial" w:eastAsia="Arial" w:hAnsi="Arial" w:cs="Arial"/>
        <w:i/>
        <w:iCs/>
        <w:sz w:val="24"/>
        <w:szCs w:val="24"/>
      </w:rPr>
      <w:t xml:space="preserve">“Por la cual se culmina una actuación administrativa” </w:t>
    </w:r>
    <w:r>
      <w:rPr>
        <w:rFonts w:ascii="Calibri" w:eastAsia="Calibri" w:hAnsi="Calibri" w:cs="Calibri"/>
        <w:noProof/>
        <w:sz w:val="22"/>
        <w:szCs w:val="22"/>
      </w:rPr>
      <w:drawing>
        <wp:anchor distT="0" distB="0" distL="114300" distR="114300" simplePos="0" relativeHeight="251658240" behindDoc="0" locked="0" layoutInCell="1" hidden="0" allowOverlap="1" wp14:anchorId="768FA439" wp14:editId="7F9C0761">
          <wp:simplePos x="0" y="0"/>
          <wp:positionH relativeFrom="margin">
            <wp:align>center</wp:align>
          </wp:positionH>
          <wp:positionV relativeFrom="page">
            <wp:posOffset>277495</wp:posOffset>
          </wp:positionV>
          <wp:extent cx="1333500" cy="469900"/>
          <wp:effectExtent l="9525" t="9525" r="9525" b="9525"/>
          <wp:wrapSquare wrapText="bothSides" distT="0" distB="0" distL="114300" distR="114300"/>
          <wp:docPr id="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1333500" cy="469900"/>
                  </a:xfrm>
                  <a:prstGeom prst="rect">
                    <a:avLst/>
                  </a:prstGeom>
                  <a:ln w="9525">
                    <a:solidFill>
                      <a:srgbClr val="000000"/>
                    </a:solidFill>
                    <a:prstDash val="solid"/>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9127F7"/>
    <w:multiLevelType w:val="multilevel"/>
    <w:tmpl w:val="E3888292"/>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668C6146"/>
    <w:multiLevelType w:val="multilevel"/>
    <w:tmpl w:val="2DC40BD6"/>
    <w:lvl w:ilvl="0">
      <w:numFmt w:val="bullet"/>
      <w:lvlText w:val="●"/>
      <w:lvlJc w:val="left"/>
      <w:pPr>
        <w:ind w:left="0" w:firstLine="0"/>
      </w:pPr>
      <w:rPr>
        <w:u w:val="none"/>
      </w:rPr>
    </w:lvl>
    <w:lvl w:ilvl="1">
      <w:start w:val="1"/>
      <w:numFmt w:val="bullet"/>
      <w:lvlText w:val=""/>
      <w:lvlJc w:val="left"/>
      <w:pPr>
        <w:ind w:left="0" w:firstLine="0"/>
      </w:pPr>
      <w:rPr>
        <w:u w:val="none"/>
      </w:rPr>
    </w:lvl>
    <w:lvl w:ilvl="2">
      <w:start w:val="1"/>
      <w:numFmt w:val="bullet"/>
      <w:lvlText w:val=""/>
      <w:lvlJc w:val="left"/>
      <w:pPr>
        <w:ind w:left="0" w:firstLine="0"/>
      </w:pPr>
      <w:rPr>
        <w:u w:val="none"/>
      </w:rPr>
    </w:lvl>
    <w:lvl w:ilvl="3">
      <w:start w:val="1"/>
      <w:numFmt w:val="bullet"/>
      <w:lvlText w:val=""/>
      <w:lvlJc w:val="left"/>
      <w:pPr>
        <w:ind w:left="0" w:firstLine="0"/>
      </w:pPr>
      <w:rPr>
        <w:u w:val="none"/>
      </w:rPr>
    </w:lvl>
    <w:lvl w:ilvl="4">
      <w:start w:val="1"/>
      <w:numFmt w:val="bullet"/>
      <w:lvlText w:val=""/>
      <w:lvlJc w:val="left"/>
      <w:pPr>
        <w:ind w:left="0" w:firstLine="0"/>
      </w:pPr>
      <w:rPr>
        <w:u w:val="none"/>
      </w:rPr>
    </w:lvl>
    <w:lvl w:ilvl="5">
      <w:start w:val="1"/>
      <w:numFmt w:val="bullet"/>
      <w:lvlText w:val=""/>
      <w:lvlJc w:val="left"/>
      <w:pPr>
        <w:ind w:left="0" w:firstLine="0"/>
      </w:pPr>
      <w:rPr>
        <w:u w:val="none"/>
      </w:rPr>
    </w:lvl>
    <w:lvl w:ilvl="6">
      <w:start w:val="1"/>
      <w:numFmt w:val="bullet"/>
      <w:lvlText w:val=""/>
      <w:lvlJc w:val="left"/>
      <w:pPr>
        <w:ind w:left="0" w:firstLine="0"/>
      </w:pPr>
      <w:rPr>
        <w:u w:val="none"/>
      </w:rPr>
    </w:lvl>
    <w:lvl w:ilvl="7">
      <w:start w:val="1"/>
      <w:numFmt w:val="bullet"/>
      <w:lvlText w:val=""/>
      <w:lvlJc w:val="left"/>
      <w:pPr>
        <w:ind w:left="0" w:firstLine="0"/>
      </w:pPr>
      <w:rPr>
        <w:u w:val="none"/>
      </w:rPr>
    </w:lvl>
    <w:lvl w:ilvl="8">
      <w:start w:val="1"/>
      <w:numFmt w:val="bullet"/>
      <w:lvlText w:val=""/>
      <w:lvlJc w:val="left"/>
      <w:pPr>
        <w:ind w:left="0" w:firstLine="0"/>
      </w:pPr>
      <w:rPr>
        <w:u w:val="none"/>
      </w:rPr>
    </w:lvl>
  </w:abstractNum>
  <w:num w:numId="1" w16cid:durableId="1197738673">
    <w:abstractNumId w:val="0"/>
  </w:num>
  <w:num w:numId="2" w16cid:durableId="5454560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A3ACA"/>
    <w:rsid w:val="002A3ACA"/>
    <w:rsid w:val="002C1537"/>
    <w:rsid w:val="00471A97"/>
    <w:rsid w:val="005527A5"/>
    <w:rsid w:val="005B00A3"/>
    <w:rsid w:val="00BE3047"/>
    <w:rsid w:val="00EC4730"/>
    <w:rsid w:val="00F55C1F"/>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B4A89F6"/>
  <w15:docId w15:val="{7E9D5C25-33C7-4A14-9E09-F647A15A1C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_tradnl"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360" w:after="80"/>
      <w:outlineLvl w:val="0"/>
    </w:pPr>
    <w:rPr>
      <w:rFonts w:ascii="Play" w:eastAsia="Play" w:hAnsi="Play" w:cs="Play"/>
      <w:color w:val="0F4761"/>
      <w:sz w:val="40"/>
      <w:szCs w:val="40"/>
    </w:rPr>
  </w:style>
  <w:style w:type="paragraph" w:styleId="Ttulo2">
    <w:name w:val="heading 2"/>
    <w:basedOn w:val="Normal"/>
    <w:next w:val="Normal"/>
    <w:uiPriority w:val="9"/>
    <w:unhideWhenUsed/>
    <w:qFormat/>
    <w:pPr>
      <w:keepNext/>
      <w:keepLines/>
      <w:spacing w:before="160" w:after="80"/>
      <w:outlineLvl w:val="1"/>
    </w:pPr>
    <w:rPr>
      <w:rFonts w:ascii="Play" w:eastAsia="Play" w:hAnsi="Play" w:cs="Play"/>
      <w:color w:val="0F4761"/>
      <w:sz w:val="32"/>
      <w:szCs w:val="32"/>
    </w:rPr>
  </w:style>
  <w:style w:type="paragraph" w:styleId="Ttulo3">
    <w:name w:val="heading 3"/>
    <w:basedOn w:val="Normal"/>
    <w:next w:val="Normal"/>
    <w:uiPriority w:val="9"/>
    <w:semiHidden/>
    <w:unhideWhenUsed/>
    <w:qFormat/>
    <w:pPr>
      <w:keepNext/>
      <w:keepLines/>
      <w:spacing w:before="160" w:after="80"/>
      <w:outlineLvl w:val="2"/>
    </w:pPr>
    <w:rPr>
      <w:color w:val="0F4761"/>
      <w:sz w:val="28"/>
      <w:szCs w:val="28"/>
    </w:rPr>
  </w:style>
  <w:style w:type="paragraph" w:styleId="Ttulo4">
    <w:name w:val="heading 4"/>
    <w:basedOn w:val="Normal"/>
    <w:next w:val="Normal"/>
    <w:uiPriority w:val="9"/>
    <w:semiHidden/>
    <w:unhideWhenUsed/>
    <w:qFormat/>
    <w:pPr>
      <w:keepNext/>
      <w:keepLines/>
      <w:spacing w:before="80" w:after="40"/>
      <w:outlineLvl w:val="3"/>
    </w:pPr>
    <w:rPr>
      <w:i/>
      <w:iCs/>
      <w:color w:val="0F4761"/>
    </w:rPr>
  </w:style>
  <w:style w:type="paragraph" w:styleId="Ttulo5">
    <w:name w:val="heading 5"/>
    <w:basedOn w:val="Normal"/>
    <w:next w:val="Normal"/>
    <w:uiPriority w:val="9"/>
    <w:semiHidden/>
    <w:unhideWhenUsed/>
    <w:qFormat/>
    <w:pPr>
      <w:keepNext/>
      <w:keepLines/>
      <w:spacing w:before="80" w:after="40"/>
      <w:outlineLvl w:val="4"/>
    </w:pPr>
    <w:rPr>
      <w:color w:val="0F4761"/>
    </w:rPr>
  </w:style>
  <w:style w:type="paragraph" w:styleId="Ttulo6">
    <w:name w:val="heading 6"/>
    <w:basedOn w:val="Normal"/>
    <w:next w:val="Normal"/>
    <w:uiPriority w:val="9"/>
    <w:semiHidden/>
    <w:unhideWhenUsed/>
    <w:qFormat/>
    <w:pPr>
      <w:keepNext/>
      <w:keepLines/>
      <w:spacing w:before="40"/>
      <w:outlineLvl w:val="5"/>
    </w:pPr>
    <w:rPr>
      <w:i/>
      <w:iCs/>
      <w:color w:val="595959"/>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spacing w:after="80"/>
    </w:pPr>
    <w:rPr>
      <w:rFonts w:ascii="Play" w:eastAsia="Play" w:hAnsi="Play" w:cs="Play"/>
      <w:sz w:val="56"/>
      <w:szCs w:val="56"/>
    </w:rPr>
  </w:style>
  <w:style w:type="paragraph" w:styleId="Subttulo">
    <w:name w:val="Subtitle"/>
    <w:basedOn w:val="Normal"/>
    <w:next w:val="Normal"/>
    <w:uiPriority w:val="11"/>
    <w:qFormat/>
    <w:rPr>
      <w:color w:val="595959"/>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mailto:jearavito@yahoo.com"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2" Type="http://schemas.openxmlformats.org/officeDocument/2006/relationships/hyperlink" Target="http://www.habitatbogota.gov.co" TargetMode="External"/><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AOyCDCTdKVlfP5ahvb3reYdSWbA==">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9</Pages>
  <Words>3473</Words>
  <Characters>19102</Characters>
  <Application>Microsoft Office Word</Application>
  <DocSecurity>0</DocSecurity>
  <Lines>159</Lines>
  <Paragraphs>45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22530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Mauricio Hernandez Beltran</dc:creator>
  <cp:lastModifiedBy>Mauricio Hernandez Beltran</cp:lastModifiedBy>
  <cp:revision>2</cp:revision>
  <dcterms:created xsi:type="dcterms:W3CDTF">2026-05-19T15:32:00Z</dcterms:created>
  <dcterms:modified xsi:type="dcterms:W3CDTF">2026-05-19T15:32:00Z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5adf42949af645d79242f751a7bb3dee</vt:lpwstr>
  </property>
</Properties>
</file>